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BF" w:rsidRDefault="00C402BF" w:rsidP="00090548">
      <w:pPr>
        <w:rPr>
          <w:b/>
          <w:color w:val="FF0000"/>
          <w:sz w:val="24"/>
          <w:szCs w:val="24"/>
        </w:rPr>
      </w:pPr>
    </w:p>
    <w:p w:rsidR="00573D80" w:rsidRDefault="00573D80" w:rsidP="00090548">
      <w:pPr>
        <w:rPr>
          <w:b/>
          <w:color w:val="FF0000"/>
          <w:sz w:val="24"/>
          <w:szCs w:val="24"/>
        </w:rPr>
      </w:pPr>
    </w:p>
    <w:p w:rsidR="008C4C7E" w:rsidRDefault="008C4C7E" w:rsidP="00090548">
      <w:pPr>
        <w:rPr>
          <w:b/>
          <w:color w:val="FF0000"/>
          <w:sz w:val="24"/>
          <w:szCs w:val="24"/>
        </w:rPr>
      </w:pPr>
    </w:p>
    <w:p w:rsidR="008C4C7E" w:rsidRPr="00941803" w:rsidRDefault="008C4C7E" w:rsidP="00941803">
      <w:pPr>
        <w:rPr>
          <w:b/>
          <w:color w:val="000000" w:themeColor="text1"/>
          <w:sz w:val="24"/>
          <w:szCs w:val="24"/>
        </w:rPr>
      </w:pPr>
    </w:p>
    <w:p w:rsidR="008C4C7E" w:rsidRDefault="008C4C7E" w:rsidP="00090548">
      <w:pPr>
        <w:rPr>
          <w:b/>
          <w:color w:val="FF0000"/>
          <w:sz w:val="24"/>
          <w:szCs w:val="24"/>
        </w:rPr>
      </w:pPr>
    </w:p>
    <w:p w:rsidR="008C4C7E" w:rsidRPr="002A231E" w:rsidRDefault="008C4C7E" w:rsidP="00090548">
      <w:pPr>
        <w:rPr>
          <w:b/>
          <w:color w:val="FF0000"/>
          <w:sz w:val="24"/>
          <w:szCs w:val="24"/>
        </w:rPr>
      </w:pPr>
    </w:p>
    <w:p w:rsidR="00C402BF" w:rsidRPr="000076C1" w:rsidRDefault="000A5ABB" w:rsidP="00090548">
      <w:pPr>
        <w:jc w:val="center"/>
        <w:rPr>
          <w:b/>
          <w:color w:val="5B9BD5" w:themeColor="accent1"/>
          <w:sz w:val="40"/>
          <w:szCs w:val="40"/>
        </w:rPr>
      </w:pPr>
      <w:r>
        <w:rPr>
          <w:b/>
          <w:color w:val="5B9BD5" w:themeColor="accent1"/>
          <w:sz w:val="40"/>
          <w:szCs w:val="40"/>
        </w:rPr>
        <w:t>Retningslinje</w:t>
      </w:r>
      <w:r w:rsidR="00090548" w:rsidRPr="000076C1">
        <w:rPr>
          <w:b/>
          <w:color w:val="5B9BD5" w:themeColor="accent1"/>
          <w:sz w:val="40"/>
          <w:szCs w:val="40"/>
        </w:rPr>
        <w:t xml:space="preserve"> for behandlingen</w:t>
      </w:r>
    </w:p>
    <w:p w:rsidR="00090548" w:rsidRPr="000076C1" w:rsidRDefault="00090548" w:rsidP="00090548">
      <w:pPr>
        <w:jc w:val="center"/>
        <w:rPr>
          <w:b/>
          <w:color w:val="5B9BD5" w:themeColor="accent1"/>
          <w:sz w:val="40"/>
          <w:szCs w:val="40"/>
        </w:rPr>
      </w:pPr>
      <w:r w:rsidRPr="000076C1">
        <w:rPr>
          <w:b/>
          <w:color w:val="5B9BD5" w:themeColor="accent1"/>
          <w:sz w:val="40"/>
          <w:szCs w:val="40"/>
        </w:rPr>
        <w:t xml:space="preserve"> av sivile saker</w:t>
      </w:r>
      <w:r w:rsidR="00C402BF" w:rsidRPr="000076C1">
        <w:rPr>
          <w:b/>
          <w:color w:val="5B9BD5" w:themeColor="accent1"/>
          <w:sz w:val="40"/>
          <w:szCs w:val="40"/>
        </w:rPr>
        <w:t xml:space="preserve"> i </w:t>
      </w:r>
      <w:r w:rsidR="000A5ABB">
        <w:rPr>
          <w:b/>
          <w:color w:val="5B9BD5" w:themeColor="accent1"/>
          <w:sz w:val="40"/>
          <w:szCs w:val="40"/>
        </w:rPr>
        <w:t>Oslo tingrett</w:t>
      </w:r>
    </w:p>
    <w:p w:rsidR="00090548" w:rsidRDefault="00090548" w:rsidP="00090548">
      <w:pPr>
        <w:jc w:val="center"/>
        <w:rPr>
          <w:b/>
          <w:sz w:val="24"/>
          <w:szCs w:val="24"/>
        </w:rPr>
      </w:pPr>
    </w:p>
    <w:p w:rsidR="00941803" w:rsidRPr="002A231E" w:rsidRDefault="00941803" w:rsidP="00090548">
      <w:pPr>
        <w:jc w:val="center"/>
        <w:rPr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27018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66EBD" w:rsidRDefault="00766EBD">
          <w:pPr>
            <w:pStyle w:val="Overskriftforinnholdsfortegnelse"/>
          </w:pPr>
          <w:r>
            <w:t>Innhold</w:t>
          </w:r>
        </w:p>
        <w:p w:rsidR="00DF3E58" w:rsidRDefault="00766EBD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2806958" w:history="1">
            <w:r w:rsidR="00DF3E58" w:rsidRPr="00105D7B">
              <w:rPr>
                <w:rStyle w:val="Hyperkobling"/>
                <w:noProof/>
              </w:rPr>
              <w:t>1. SAKSFORBEREDELSE</w:t>
            </w:r>
            <w:r w:rsidR="00DF3E58">
              <w:rPr>
                <w:noProof/>
                <w:webHidden/>
              </w:rPr>
              <w:tab/>
            </w:r>
            <w:r w:rsidR="00DF3E58">
              <w:rPr>
                <w:noProof/>
                <w:webHidden/>
              </w:rPr>
              <w:fldChar w:fldCharType="begin"/>
            </w:r>
            <w:r w:rsidR="00DF3E58">
              <w:rPr>
                <w:noProof/>
                <w:webHidden/>
              </w:rPr>
              <w:instrText xml:space="preserve"> PAGEREF _Toc532806958 \h </w:instrText>
            </w:r>
            <w:r w:rsidR="00DF3E58">
              <w:rPr>
                <w:noProof/>
                <w:webHidden/>
              </w:rPr>
            </w:r>
            <w:r w:rsidR="00DF3E58">
              <w:rPr>
                <w:noProof/>
                <w:webHidden/>
              </w:rPr>
              <w:fldChar w:fldCharType="separate"/>
            </w:r>
            <w:r w:rsidR="00573D80">
              <w:rPr>
                <w:noProof/>
                <w:webHidden/>
              </w:rPr>
              <w:t>2</w:t>
            </w:r>
            <w:r w:rsidR="00DF3E58">
              <w:rPr>
                <w:noProof/>
                <w:webHidden/>
              </w:rPr>
              <w:fldChar w:fldCharType="end"/>
            </w:r>
          </w:hyperlink>
        </w:p>
        <w:p w:rsidR="00DF3E58" w:rsidRDefault="00817417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2806959" w:history="1">
            <w:r w:rsidR="00DF3E58" w:rsidRPr="00105D7B">
              <w:rPr>
                <w:rStyle w:val="Hyperkobling"/>
                <w:noProof/>
              </w:rPr>
              <w:t>Stevning og tilsvar</w:t>
            </w:r>
            <w:r w:rsidR="00DF3E58">
              <w:rPr>
                <w:noProof/>
                <w:webHidden/>
              </w:rPr>
              <w:tab/>
            </w:r>
            <w:r w:rsidR="00DF3E58">
              <w:rPr>
                <w:noProof/>
                <w:webHidden/>
              </w:rPr>
              <w:fldChar w:fldCharType="begin"/>
            </w:r>
            <w:r w:rsidR="00DF3E58">
              <w:rPr>
                <w:noProof/>
                <w:webHidden/>
              </w:rPr>
              <w:instrText xml:space="preserve"> PAGEREF _Toc532806959 \h </w:instrText>
            </w:r>
            <w:r w:rsidR="00DF3E58">
              <w:rPr>
                <w:noProof/>
                <w:webHidden/>
              </w:rPr>
            </w:r>
            <w:r w:rsidR="00DF3E58">
              <w:rPr>
                <w:noProof/>
                <w:webHidden/>
              </w:rPr>
              <w:fldChar w:fldCharType="separate"/>
            </w:r>
            <w:r w:rsidR="00573D80">
              <w:rPr>
                <w:noProof/>
                <w:webHidden/>
              </w:rPr>
              <w:t>2</w:t>
            </w:r>
            <w:r w:rsidR="00DF3E58">
              <w:rPr>
                <w:noProof/>
                <w:webHidden/>
              </w:rPr>
              <w:fldChar w:fldCharType="end"/>
            </w:r>
          </w:hyperlink>
        </w:p>
        <w:p w:rsidR="00DF3E58" w:rsidRDefault="00817417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2806960" w:history="1">
            <w:r w:rsidR="00DF3E58" w:rsidRPr="00105D7B">
              <w:rPr>
                <w:rStyle w:val="Hyperkobling"/>
                <w:noProof/>
              </w:rPr>
              <w:t>Tid for hovedforhandling</w:t>
            </w:r>
            <w:r w:rsidR="00DF3E58">
              <w:rPr>
                <w:noProof/>
                <w:webHidden/>
              </w:rPr>
              <w:tab/>
            </w:r>
            <w:r w:rsidR="00DF3E58">
              <w:rPr>
                <w:noProof/>
                <w:webHidden/>
              </w:rPr>
              <w:fldChar w:fldCharType="begin"/>
            </w:r>
            <w:r w:rsidR="00DF3E58">
              <w:rPr>
                <w:noProof/>
                <w:webHidden/>
              </w:rPr>
              <w:instrText xml:space="preserve"> PAGEREF _Toc532806960 \h </w:instrText>
            </w:r>
            <w:r w:rsidR="00DF3E58">
              <w:rPr>
                <w:noProof/>
                <w:webHidden/>
              </w:rPr>
            </w:r>
            <w:r w:rsidR="00DF3E58">
              <w:rPr>
                <w:noProof/>
                <w:webHidden/>
              </w:rPr>
              <w:fldChar w:fldCharType="separate"/>
            </w:r>
            <w:r w:rsidR="00573D80">
              <w:rPr>
                <w:noProof/>
                <w:webHidden/>
              </w:rPr>
              <w:t>2</w:t>
            </w:r>
            <w:r w:rsidR="00DF3E58">
              <w:rPr>
                <w:noProof/>
                <w:webHidden/>
              </w:rPr>
              <w:fldChar w:fldCharType="end"/>
            </w:r>
          </w:hyperlink>
        </w:p>
        <w:p w:rsidR="00DF3E58" w:rsidRDefault="00817417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2806961" w:history="1">
            <w:r w:rsidR="00DF3E58" w:rsidRPr="00105D7B">
              <w:rPr>
                <w:rStyle w:val="Hyperkobling"/>
                <w:noProof/>
              </w:rPr>
              <w:t>Rettsmekling</w:t>
            </w:r>
            <w:r w:rsidR="00DF3E58">
              <w:rPr>
                <w:noProof/>
                <w:webHidden/>
              </w:rPr>
              <w:tab/>
            </w:r>
            <w:r w:rsidR="00DF3E58">
              <w:rPr>
                <w:noProof/>
                <w:webHidden/>
              </w:rPr>
              <w:fldChar w:fldCharType="begin"/>
            </w:r>
            <w:r w:rsidR="00DF3E58">
              <w:rPr>
                <w:noProof/>
                <w:webHidden/>
              </w:rPr>
              <w:instrText xml:space="preserve"> PAGEREF _Toc532806961 \h </w:instrText>
            </w:r>
            <w:r w:rsidR="00DF3E58">
              <w:rPr>
                <w:noProof/>
                <w:webHidden/>
              </w:rPr>
            </w:r>
            <w:r w:rsidR="00DF3E58">
              <w:rPr>
                <w:noProof/>
                <w:webHidden/>
              </w:rPr>
              <w:fldChar w:fldCharType="separate"/>
            </w:r>
            <w:r w:rsidR="00573D80">
              <w:rPr>
                <w:noProof/>
                <w:webHidden/>
              </w:rPr>
              <w:t>2</w:t>
            </w:r>
            <w:r w:rsidR="00DF3E58">
              <w:rPr>
                <w:noProof/>
                <w:webHidden/>
              </w:rPr>
              <w:fldChar w:fldCharType="end"/>
            </w:r>
          </w:hyperlink>
        </w:p>
        <w:p w:rsidR="00DF3E58" w:rsidRDefault="00817417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2806962" w:history="1">
            <w:r w:rsidR="00DF3E58" w:rsidRPr="00105D7B">
              <w:rPr>
                <w:rStyle w:val="Hyperkobling"/>
                <w:noProof/>
              </w:rPr>
              <w:t>Planmøte</w:t>
            </w:r>
            <w:r w:rsidR="00DF3E58">
              <w:rPr>
                <w:noProof/>
                <w:webHidden/>
              </w:rPr>
              <w:tab/>
            </w:r>
            <w:r w:rsidR="00DF3E58">
              <w:rPr>
                <w:noProof/>
                <w:webHidden/>
              </w:rPr>
              <w:fldChar w:fldCharType="begin"/>
            </w:r>
            <w:r w:rsidR="00DF3E58">
              <w:rPr>
                <w:noProof/>
                <w:webHidden/>
              </w:rPr>
              <w:instrText xml:space="preserve"> PAGEREF _Toc532806962 \h </w:instrText>
            </w:r>
            <w:r w:rsidR="00DF3E58">
              <w:rPr>
                <w:noProof/>
                <w:webHidden/>
              </w:rPr>
            </w:r>
            <w:r w:rsidR="00DF3E58">
              <w:rPr>
                <w:noProof/>
                <w:webHidden/>
              </w:rPr>
              <w:fldChar w:fldCharType="separate"/>
            </w:r>
            <w:r w:rsidR="00573D80">
              <w:rPr>
                <w:noProof/>
                <w:webHidden/>
              </w:rPr>
              <w:t>3</w:t>
            </w:r>
            <w:r w:rsidR="00DF3E58">
              <w:rPr>
                <w:noProof/>
                <w:webHidden/>
              </w:rPr>
              <w:fldChar w:fldCharType="end"/>
            </w:r>
          </w:hyperlink>
        </w:p>
        <w:p w:rsidR="00DF3E58" w:rsidRDefault="00817417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2806963" w:history="1">
            <w:r w:rsidR="00DF3E58" w:rsidRPr="00105D7B">
              <w:rPr>
                <w:rStyle w:val="Hyperkobling"/>
                <w:noProof/>
              </w:rPr>
              <w:t>Videre saksforberedelse</w:t>
            </w:r>
            <w:r w:rsidR="00DF3E58">
              <w:rPr>
                <w:noProof/>
                <w:webHidden/>
              </w:rPr>
              <w:tab/>
            </w:r>
            <w:r w:rsidR="00DF3E58">
              <w:rPr>
                <w:noProof/>
                <w:webHidden/>
              </w:rPr>
              <w:fldChar w:fldCharType="begin"/>
            </w:r>
            <w:r w:rsidR="00DF3E58">
              <w:rPr>
                <w:noProof/>
                <w:webHidden/>
              </w:rPr>
              <w:instrText xml:space="preserve"> PAGEREF _Toc532806963 \h </w:instrText>
            </w:r>
            <w:r w:rsidR="00DF3E58">
              <w:rPr>
                <w:noProof/>
                <w:webHidden/>
              </w:rPr>
            </w:r>
            <w:r w:rsidR="00DF3E58">
              <w:rPr>
                <w:noProof/>
                <w:webHidden/>
              </w:rPr>
              <w:fldChar w:fldCharType="separate"/>
            </w:r>
            <w:r w:rsidR="00573D80">
              <w:rPr>
                <w:noProof/>
                <w:webHidden/>
              </w:rPr>
              <w:t>3</w:t>
            </w:r>
            <w:r w:rsidR="00DF3E58">
              <w:rPr>
                <w:noProof/>
                <w:webHidden/>
              </w:rPr>
              <w:fldChar w:fldCharType="end"/>
            </w:r>
          </w:hyperlink>
        </w:p>
        <w:p w:rsidR="00DF3E58" w:rsidRDefault="00817417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2806964" w:history="1">
            <w:r w:rsidR="00DF3E58" w:rsidRPr="00105D7B">
              <w:rPr>
                <w:rStyle w:val="Hyperkobling"/>
                <w:noProof/>
              </w:rPr>
              <w:t>Avslutning av saksforberedelsen</w:t>
            </w:r>
            <w:r w:rsidR="00DF3E58">
              <w:rPr>
                <w:noProof/>
                <w:webHidden/>
              </w:rPr>
              <w:tab/>
            </w:r>
            <w:r w:rsidR="00DF3E58">
              <w:rPr>
                <w:noProof/>
                <w:webHidden/>
              </w:rPr>
              <w:fldChar w:fldCharType="begin"/>
            </w:r>
            <w:r w:rsidR="00DF3E58">
              <w:rPr>
                <w:noProof/>
                <w:webHidden/>
              </w:rPr>
              <w:instrText xml:space="preserve"> PAGEREF _Toc532806964 \h </w:instrText>
            </w:r>
            <w:r w:rsidR="00DF3E58">
              <w:rPr>
                <w:noProof/>
                <w:webHidden/>
              </w:rPr>
            </w:r>
            <w:r w:rsidR="00DF3E58">
              <w:rPr>
                <w:noProof/>
                <w:webHidden/>
              </w:rPr>
              <w:fldChar w:fldCharType="separate"/>
            </w:r>
            <w:r w:rsidR="00573D80">
              <w:rPr>
                <w:noProof/>
                <w:webHidden/>
              </w:rPr>
              <w:t>3</w:t>
            </w:r>
            <w:r w:rsidR="00DF3E58">
              <w:rPr>
                <w:noProof/>
                <w:webHidden/>
              </w:rPr>
              <w:fldChar w:fldCharType="end"/>
            </w:r>
          </w:hyperlink>
        </w:p>
        <w:p w:rsidR="00DF3E58" w:rsidRDefault="00817417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2806965" w:history="1">
            <w:r w:rsidR="00DF3E58" w:rsidRPr="00105D7B">
              <w:rPr>
                <w:rStyle w:val="Hyperkobling"/>
                <w:noProof/>
              </w:rPr>
              <w:t>Sluttinnlegg og framdriftsplan</w:t>
            </w:r>
            <w:r w:rsidR="00DF3E58">
              <w:rPr>
                <w:noProof/>
                <w:webHidden/>
              </w:rPr>
              <w:tab/>
            </w:r>
            <w:r w:rsidR="00DF3E58">
              <w:rPr>
                <w:noProof/>
                <w:webHidden/>
              </w:rPr>
              <w:fldChar w:fldCharType="begin"/>
            </w:r>
            <w:r w:rsidR="00DF3E58">
              <w:rPr>
                <w:noProof/>
                <w:webHidden/>
              </w:rPr>
              <w:instrText xml:space="preserve"> PAGEREF _Toc532806965 \h </w:instrText>
            </w:r>
            <w:r w:rsidR="00DF3E58">
              <w:rPr>
                <w:noProof/>
                <w:webHidden/>
              </w:rPr>
            </w:r>
            <w:r w:rsidR="00DF3E58">
              <w:rPr>
                <w:noProof/>
                <w:webHidden/>
              </w:rPr>
              <w:fldChar w:fldCharType="separate"/>
            </w:r>
            <w:r w:rsidR="00573D80">
              <w:rPr>
                <w:noProof/>
                <w:webHidden/>
              </w:rPr>
              <w:t>3</w:t>
            </w:r>
            <w:r w:rsidR="00DF3E58">
              <w:rPr>
                <w:noProof/>
                <w:webHidden/>
              </w:rPr>
              <w:fldChar w:fldCharType="end"/>
            </w:r>
          </w:hyperlink>
        </w:p>
        <w:p w:rsidR="00DF3E58" w:rsidRDefault="0081741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2806966" w:history="1">
            <w:r w:rsidR="00DF3E58" w:rsidRPr="00105D7B">
              <w:rPr>
                <w:rStyle w:val="Hyperkobling"/>
                <w:noProof/>
              </w:rPr>
              <w:t>2. HOVEDFORHANDLINGEN</w:t>
            </w:r>
            <w:r w:rsidR="00DF3E58">
              <w:rPr>
                <w:noProof/>
                <w:webHidden/>
              </w:rPr>
              <w:tab/>
            </w:r>
            <w:r w:rsidR="00DF3E58">
              <w:rPr>
                <w:noProof/>
                <w:webHidden/>
              </w:rPr>
              <w:fldChar w:fldCharType="begin"/>
            </w:r>
            <w:r w:rsidR="00DF3E58">
              <w:rPr>
                <w:noProof/>
                <w:webHidden/>
              </w:rPr>
              <w:instrText xml:space="preserve"> PAGEREF _Toc532806966 \h </w:instrText>
            </w:r>
            <w:r w:rsidR="00DF3E58">
              <w:rPr>
                <w:noProof/>
                <w:webHidden/>
              </w:rPr>
            </w:r>
            <w:r w:rsidR="00DF3E58">
              <w:rPr>
                <w:noProof/>
                <w:webHidden/>
              </w:rPr>
              <w:fldChar w:fldCharType="separate"/>
            </w:r>
            <w:r w:rsidR="00573D80">
              <w:rPr>
                <w:noProof/>
                <w:webHidden/>
              </w:rPr>
              <w:t>4</w:t>
            </w:r>
            <w:r w:rsidR="00DF3E58">
              <w:rPr>
                <w:noProof/>
                <w:webHidden/>
              </w:rPr>
              <w:fldChar w:fldCharType="end"/>
            </w:r>
          </w:hyperlink>
        </w:p>
        <w:p w:rsidR="00DF3E58" w:rsidRDefault="00817417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2806967" w:history="1">
            <w:r w:rsidR="00DF3E58" w:rsidRPr="00105D7B">
              <w:rPr>
                <w:rStyle w:val="Hyperkobling"/>
                <w:noProof/>
              </w:rPr>
              <w:t>Generelt</w:t>
            </w:r>
            <w:r w:rsidR="00DF3E58">
              <w:rPr>
                <w:noProof/>
                <w:webHidden/>
              </w:rPr>
              <w:tab/>
            </w:r>
            <w:r w:rsidR="00DF3E58">
              <w:rPr>
                <w:noProof/>
                <w:webHidden/>
              </w:rPr>
              <w:fldChar w:fldCharType="begin"/>
            </w:r>
            <w:r w:rsidR="00DF3E58">
              <w:rPr>
                <w:noProof/>
                <w:webHidden/>
              </w:rPr>
              <w:instrText xml:space="preserve"> PAGEREF _Toc532806967 \h </w:instrText>
            </w:r>
            <w:r w:rsidR="00DF3E58">
              <w:rPr>
                <w:noProof/>
                <w:webHidden/>
              </w:rPr>
            </w:r>
            <w:r w:rsidR="00DF3E58">
              <w:rPr>
                <w:noProof/>
                <w:webHidden/>
              </w:rPr>
              <w:fldChar w:fldCharType="separate"/>
            </w:r>
            <w:r w:rsidR="00573D80">
              <w:rPr>
                <w:noProof/>
                <w:webHidden/>
              </w:rPr>
              <w:t>4</w:t>
            </w:r>
            <w:r w:rsidR="00DF3E58">
              <w:rPr>
                <w:noProof/>
                <w:webHidden/>
              </w:rPr>
              <w:fldChar w:fldCharType="end"/>
            </w:r>
          </w:hyperlink>
        </w:p>
        <w:p w:rsidR="00DF3E58" w:rsidRDefault="00817417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2806968" w:history="1">
            <w:r w:rsidR="00DF3E58" w:rsidRPr="00105D7B">
              <w:rPr>
                <w:rStyle w:val="Hyperkobling"/>
                <w:noProof/>
              </w:rPr>
              <w:t>Dokumenter til bruk under hovedforhandlingen</w:t>
            </w:r>
            <w:r w:rsidR="00DF3E58">
              <w:rPr>
                <w:noProof/>
                <w:webHidden/>
              </w:rPr>
              <w:tab/>
            </w:r>
            <w:r w:rsidR="00DF3E58">
              <w:rPr>
                <w:noProof/>
                <w:webHidden/>
              </w:rPr>
              <w:fldChar w:fldCharType="begin"/>
            </w:r>
            <w:r w:rsidR="00DF3E58">
              <w:rPr>
                <w:noProof/>
                <w:webHidden/>
              </w:rPr>
              <w:instrText xml:space="preserve"> PAGEREF _Toc532806968 \h </w:instrText>
            </w:r>
            <w:r w:rsidR="00DF3E58">
              <w:rPr>
                <w:noProof/>
                <w:webHidden/>
              </w:rPr>
            </w:r>
            <w:r w:rsidR="00DF3E58">
              <w:rPr>
                <w:noProof/>
                <w:webHidden/>
              </w:rPr>
              <w:fldChar w:fldCharType="separate"/>
            </w:r>
            <w:r w:rsidR="00573D80">
              <w:rPr>
                <w:noProof/>
                <w:webHidden/>
              </w:rPr>
              <w:t>4</w:t>
            </w:r>
            <w:r w:rsidR="00DF3E58">
              <w:rPr>
                <w:noProof/>
                <w:webHidden/>
              </w:rPr>
              <w:fldChar w:fldCharType="end"/>
            </w:r>
          </w:hyperlink>
        </w:p>
        <w:p w:rsidR="00DF3E58" w:rsidRDefault="00817417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2806969" w:history="1">
            <w:r w:rsidR="00DF3E58" w:rsidRPr="00105D7B">
              <w:rPr>
                <w:rStyle w:val="Hyperkobling"/>
                <w:noProof/>
              </w:rPr>
              <w:t>Rettens innledning, partenes saksframstilling</w:t>
            </w:r>
            <w:r w:rsidR="00DF3E58">
              <w:rPr>
                <w:noProof/>
                <w:webHidden/>
              </w:rPr>
              <w:tab/>
            </w:r>
            <w:r w:rsidR="00DF3E58">
              <w:rPr>
                <w:noProof/>
                <w:webHidden/>
              </w:rPr>
              <w:fldChar w:fldCharType="begin"/>
            </w:r>
            <w:r w:rsidR="00DF3E58">
              <w:rPr>
                <w:noProof/>
                <w:webHidden/>
              </w:rPr>
              <w:instrText xml:space="preserve"> PAGEREF _Toc532806969 \h </w:instrText>
            </w:r>
            <w:r w:rsidR="00DF3E58">
              <w:rPr>
                <w:noProof/>
                <w:webHidden/>
              </w:rPr>
            </w:r>
            <w:r w:rsidR="00DF3E58">
              <w:rPr>
                <w:noProof/>
                <w:webHidden/>
              </w:rPr>
              <w:fldChar w:fldCharType="separate"/>
            </w:r>
            <w:r w:rsidR="00573D80">
              <w:rPr>
                <w:noProof/>
                <w:webHidden/>
              </w:rPr>
              <w:t>4</w:t>
            </w:r>
            <w:r w:rsidR="00DF3E58">
              <w:rPr>
                <w:noProof/>
                <w:webHidden/>
              </w:rPr>
              <w:fldChar w:fldCharType="end"/>
            </w:r>
          </w:hyperlink>
        </w:p>
        <w:p w:rsidR="00DF3E58" w:rsidRDefault="00817417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2806970" w:history="1">
            <w:r w:rsidR="00DF3E58" w:rsidRPr="00105D7B">
              <w:rPr>
                <w:rStyle w:val="Hyperkobling"/>
                <w:noProof/>
              </w:rPr>
              <w:t>Bevisførselen</w:t>
            </w:r>
            <w:r w:rsidR="00DF3E58">
              <w:rPr>
                <w:noProof/>
                <w:webHidden/>
              </w:rPr>
              <w:tab/>
            </w:r>
            <w:r w:rsidR="00DF3E58">
              <w:rPr>
                <w:noProof/>
                <w:webHidden/>
              </w:rPr>
              <w:fldChar w:fldCharType="begin"/>
            </w:r>
            <w:r w:rsidR="00DF3E58">
              <w:rPr>
                <w:noProof/>
                <w:webHidden/>
              </w:rPr>
              <w:instrText xml:space="preserve"> PAGEREF _Toc532806970 \h </w:instrText>
            </w:r>
            <w:r w:rsidR="00DF3E58">
              <w:rPr>
                <w:noProof/>
                <w:webHidden/>
              </w:rPr>
            </w:r>
            <w:r w:rsidR="00DF3E58">
              <w:rPr>
                <w:noProof/>
                <w:webHidden/>
              </w:rPr>
              <w:fldChar w:fldCharType="separate"/>
            </w:r>
            <w:r w:rsidR="00573D80">
              <w:rPr>
                <w:noProof/>
                <w:webHidden/>
              </w:rPr>
              <w:t>4</w:t>
            </w:r>
            <w:r w:rsidR="00DF3E58">
              <w:rPr>
                <w:noProof/>
                <w:webHidden/>
              </w:rPr>
              <w:fldChar w:fldCharType="end"/>
            </w:r>
          </w:hyperlink>
        </w:p>
        <w:p w:rsidR="00DF3E58" w:rsidRDefault="00817417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2806971" w:history="1">
            <w:r w:rsidR="00DF3E58" w:rsidRPr="00105D7B">
              <w:rPr>
                <w:rStyle w:val="Hyperkobling"/>
                <w:noProof/>
              </w:rPr>
              <w:t>Avsluttende innlegg  – prosedyrer, replikk og duplikk</w:t>
            </w:r>
            <w:r w:rsidR="00DF3E58">
              <w:rPr>
                <w:noProof/>
                <w:webHidden/>
              </w:rPr>
              <w:tab/>
            </w:r>
            <w:r w:rsidR="00DF3E58">
              <w:rPr>
                <w:noProof/>
                <w:webHidden/>
              </w:rPr>
              <w:fldChar w:fldCharType="begin"/>
            </w:r>
            <w:r w:rsidR="00DF3E58">
              <w:rPr>
                <w:noProof/>
                <w:webHidden/>
              </w:rPr>
              <w:instrText xml:space="preserve"> PAGEREF _Toc532806971 \h </w:instrText>
            </w:r>
            <w:r w:rsidR="00DF3E58">
              <w:rPr>
                <w:noProof/>
                <w:webHidden/>
              </w:rPr>
            </w:r>
            <w:r w:rsidR="00DF3E58">
              <w:rPr>
                <w:noProof/>
                <w:webHidden/>
              </w:rPr>
              <w:fldChar w:fldCharType="separate"/>
            </w:r>
            <w:r w:rsidR="00573D80">
              <w:rPr>
                <w:noProof/>
                <w:webHidden/>
              </w:rPr>
              <w:t>5</w:t>
            </w:r>
            <w:r w:rsidR="00DF3E58">
              <w:rPr>
                <w:noProof/>
                <w:webHidden/>
              </w:rPr>
              <w:fldChar w:fldCharType="end"/>
            </w:r>
          </w:hyperlink>
        </w:p>
        <w:p w:rsidR="00DF3E58" w:rsidRDefault="00817417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2806972" w:history="1">
            <w:r w:rsidR="00DF3E58" w:rsidRPr="00105D7B">
              <w:rPr>
                <w:rStyle w:val="Hyperkobling"/>
                <w:noProof/>
              </w:rPr>
              <w:t>Sakskostnadsoppgave</w:t>
            </w:r>
            <w:r w:rsidR="00DF3E58">
              <w:rPr>
                <w:noProof/>
                <w:webHidden/>
              </w:rPr>
              <w:tab/>
            </w:r>
            <w:r w:rsidR="00DF3E58">
              <w:rPr>
                <w:noProof/>
                <w:webHidden/>
              </w:rPr>
              <w:fldChar w:fldCharType="begin"/>
            </w:r>
            <w:r w:rsidR="00DF3E58">
              <w:rPr>
                <w:noProof/>
                <w:webHidden/>
              </w:rPr>
              <w:instrText xml:space="preserve"> PAGEREF _Toc532806972 \h </w:instrText>
            </w:r>
            <w:r w:rsidR="00DF3E58">
              <w:rPr>
                <w:noProof/>
                <w:webHidden/>
              </w:rPr>
            </w:r>
            <w:r w:rsidR="00DF3E58">
              <w:rPr>
                <w:noProof/>
                <w:webHidden/>
              </w:rPr>
              <w:fldChar w:fldCharType="separate"/>
            </w:r>
            <w:r w:rsidR="00573D80">
              <w:rPr>
                <w:noProof/>
                <w:webHidden/>
              </w:rPr>
              <w:t>5</w:t>
            </w:r>
            <w:r w:rsidR="00DF3E58">
              <w:rPr>
                <w:noProof/>
                <w:webHidden/>
              </w:rPr>
              <w:fldChar w:fldCharType="end"/>
            </w:r>
          </w:hyperlink>
        </w:p>
        <w:p w:rsidR="00766EBD" w:rsidRDefault="00766EBD">
          <w:r>
            <w:rPr>
              <w:b/>
              <w:bCs/>
            </w:rPr>
            <w:fldChar w:fldCharType="end"/>
          </w:r>
        </w:p>
      </w:sdtContent>
    </w:sdt>
    <w:p w:rsidR="00090548" w:rsidRDefault="00090548" w:rsidP="00090548"/>
    <w:p w:rsidR="00090548" w:rsidRDefault="00090548" w:rsidP="00833254">
      <w:pPr>
        <w:pStyle w:val="Overskrift1"/>
        <w:pageBreakBefore/>
        <w:numPr>
          <w:ilvl w:val="0"/>
          <w:numId w:val="2"/>
        </w:numPr>
      </w:pPr>
      <w:bookmarkStart w:id="0" w:name="_Toc532806958"/>
      <w:r>
        <w:lastRenderedPageBreak/>
        <w:t>SAKSFORBEREDELSE</w:t>
      </w:r>
      <w:bookmarkEnd w:id="0"/>
    </w:p>
    <w:p w:rsidR="00833254" w:rsidRPr="00833254" w:rsidRDefault="00833254" w:rsidP="00833254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122"/>
        <w:gridCol w:w="6940"/>
      </w:tblGrid>
      <w:tr w:rsidR="00090548" w:rsidTr="004413F0">
        <w:tc>
          <w:tcPr>
            <w:tcW w:w="2122" w:type="dxa"/>
          </w:tcPr>
          <w:p w:rsidR="00090548" w:rsidRPr="00B113A3" w:rsidRDefault="00090548" w:rsidP="00864B9C">
            <w:pPr>
              <w:pStyle w:val="Overskrift2"/>
              <w:outlineLvl w:val="1"/>
            </w:pPr>
            <w:bookmarkStart w:id="1" w:name="_Toc532806959"/>
            <w:r w:rsidRPr="00B113A3">
              <w:t>Stevning og tilsvar</w:t>
            </w:r>
            <w:bookmarkEnd w:id="1"/>
          </w:p>
        </w:tc>
        <w:tc>
          <w:tcPr>
            <w:tcW w:w="6940" w:type="dxa"/>
          </w:tcPr>
          <w:p w:rsidR="00090548" w:rsidRDefault="00090548" w:rsidP="004413F0">
            <w:r>
              <w:t>S</w:t>
            </w:r>
            <w:r w:rsidRPr="00B52A6B">
              <w:t xml:space="preserve">tevning og tilsvar </w:t>
            </w:r>
            <w:r>
              <w:t>skal danne grunnlaget for rettens behandling av saken. Planmøte, beramming og vurdering av rettsmekling skal kunne gjennomføres på grunnlag av disse dokumentene.</w:t>
            </w:r>
          </w:p>
          <w:p w:rsidR="00090548" w:rsidRDefault="00090548" w:rsidP="004413F0"/>
          <w:p w:rsidR="00090548" w:rsidRDefault="00090548" w:rsidP="004413F0">
            <w:r>
              <w:t xml:space="preserve">Hva stevning og tilsvar skal inneholde, følger av tvisteloven </w:t>
            </w:r>
            <w:r w:rsidRPr="00B52A6B">
              <w:t>§§ 9-2 og 9-3</w:t>
            </w:r>
            <w:r>
              <w:t>. Det er vesentlig at dokumentene presist angir:</w:t>
            </w:r>
          </w:p>
          <w:p w:rsidR="00090548" w:rsidRDefault="00090548" w:rsidP="004413F0"/>
          <w:p w:rsidR="00090548" w:rsidRDefault="00090548" w:rsidP="004413F0">
            <w:pPr>
              <w:pStyle w:val="Listeavsnitt"/>
              <w:numPr>
                <w:ilvl w:val="0"/>
                <w:numId w:val="1"/>
              </w:numPr>
            </w:pPr>
            <w:r>
              <w:t>Hvilke krav og påstander som gjøres gjeldende</w:t>
            </w:r>
            <w:r w:rsidR="00E3466C">
              <w:t>,</w:t>
            </w:r>
            <w:r>
              <w:t xml:space="preserve"> og den faktiske og rettslige begrunnelsen for disse.</w:t>
            </w:r>
          </w:p>
          <w:p w:rsidR="00090548" w:rsidRDefault="00090548" w:rsidP="004413F0">
            <w:pPr>
              <w:pStyle w:val="Listeavsnitt"/>
              <w:numPr>
                <w:ilvl w:val="0"/>
                <w:numId w:val="1"/>
              </w:numPr>
            </w:pPr>
            <w:r>
              <w:t>Hvilke bevis som vil bli ført i tilknytning til de enkelte kravene.</w:t>
            </w:r>
          </w:p>
          <w:p w:rsidR="00090548" w:rsidRDefault="00090548" w:rsidP="004413F0">
            <w:pPr>
              <w:pStyle w:val="Listeavsnitt"/>
              <w:numPr>
                <w:ilvl w:val="0"/>
                <w:numId w:val="1"/>
              </w:numPr>
            </w:pPr>
            <w:r>
              <w:t>Eventuelle prosessuelle spørsmål av betydning for behandlingen av saken.</w:t>
            </w:r>
          </w:p>
          <w:p w:rsidR="00090548" w:rsidRDefault="00090548" w:rsidP="004413F0"/>
          <w:p w:rsidR="00090548" w:rsidRDefault="00090548" w:rsidP="004413F0">
            <w:r>
              <w:t>Redegjørelsene bør ha en stram form, uten for stor grad av argumentasjon.</w:t>
            </w:r>
          </w:p>
          <w:p w:rsidR="00090548" w:rsidRDefault="00090548" w:rsidP="004413F0"/>
          <w:p w:rsidR="00090548" w:rsidRDefault="00090548" w:rsidP="004413F0">
            <w:r>
              <w:t xml:space="preserve">Stevning og tilsvar må settes opp oversiktlig. Bilag betegnes og nummeres som fastsatt i retningslinjer for </w:t>
            </w:r>
            <w:r w:rsidR="0073669E">
              <w:t>A</w:t>
            </w:r>
            <w:r>
              <w:t>ktørportalen</w:t>
            </w:r>
            <w:r w:rsidR="009C5EF6">
              <w:t xml:space="preserve"> [</w:t>
            </w:r>
            <w:r w:rsidR="009C5EF6" w:rsidRPr="000A5ABB">
              <w:rPr>
                <w:highlight w:val="yellow"/>
              </w:rPr>
              <w:t>LENKE</w:t>
            </w:r>
            <w:r w:rsidR="009C5EF6">
              <w:t>]</w:t>
            </w:r>
            <w:r>
              <w:t xml:space="preserve">. </w:t>
            </w:r>
          </w:p>
          <w:p w:rsidR="00090548" w:rsidRDefault="00090548" w:rsidP="004413F0">
            <w:r w:rsidRPr="00B52A6B">
              <w:t xml:space="preserve"> </w:t>
            </w:r>
          </w:p>
          <w:p w:rsidR="00090548" w:rsidRDefault="00090548" w:rsidP="004413F0">
            <w:r>
              <w:t>Foreligger det mangler ved stevning eller tilsvar, vil retten gi frist for retting</w:t>
            </w:r>
            <w:r w:rsidR="0073669E">
              <w:t>,</w:t>
            </w:r>
            <w:r>
              <w:t xml:space="preserve"> jf. tvisteloven § 16-5. </w:t>
            </w:r>
            <w:r w:rsidR="00E3466C">
              <w:t xml:space="preserve">Dersom </w:t>
            </w:r>
            <w:r>
              <w:t xml:space="preserve">retting </w:t>
            </w:r>
            <w:r w:rsidR="00E3466C">
              <w:t xml:space="preserve">ikke blir utført, </w:t>
            </w:r>
            <w:r>
              <w:t xml:space="preserve">gir </w:t>
            </w:r>
            <w:r w:rsidR="00E3466C">
              <w:t xml:space="preserve">det </w:t>
            </w:r>
            <w:r>
              <w:t xml:space="preserve">grunnlag for avvisning. </w:t>
            </w:r>
          </w:p>
          <w:p w:rsidR="00090548" w:rsidRDefault="00090548" w:rsidP="004413F0"/>
          <w:p w:rsidR="00090548" w:rsidRDefault="00090548" w:rsidP="004413F0"/>
        </w:tc>
      </w:tr>
      <w:tr w:rsidR="00090548" w:rsidTr="004413F0">
        <w:tc>
          <w:tcPr>
            <w:tcW w:w="2122" w:type="dxa"/>
          </w:tcPr>
          <w:p w:rsidR="00090548" w:rsidRPr="00B113A3" w:rsidRDefault="00090548" w:rsidP="00766EBD">
            <w:pPr>
              <w:pStyle w:val="Overskrift2"/>
              <w:outlineLvl w:val="1"/>
            </w:pPr>
            <w:bookmarkStart w:id="2" w:name="_Toc532806960"/>
            <w:r w:rsidRPr="00B113A3">
              <w:t>Tid for hovedforhandling</w:t>
            </w:r>
            <w:bookmarkEnd w:id="2"/>
          </w:p>
        </w:tc>
        <w:tc>
          <w:tcPr>
            <w:tcW w:w="6940" w:type="dxa"/>
          </w:tcPr>
          <w:p w:rsidR="00090548" w:rsidRDefault="00090548" w:rsidP="004413F0">
            <w:r w:rsidRPr="00B91AD7">
              <w:t xml:space="preserve">Partene kan bli kontaktet </w:t>
            </w:r>
            <w:r w:rsidR="00B91AD7">
              <w:t xml:space="preserve">for </w:t>
            </w:r>
            <w:proofErr w:type="spellStart"/>
            <w:r w:rsidR="00B91AD7">
              <w:t>beramming</w:t>
            </w:r>
            <w:proofErr w:type="spellEnd"/>
            <w:r w:rsidR="00B91AD7">
              <w:t xml:space="preserve"> av hovedforhandling før planmøtet.</w:t>
            </w:r>
          </w:p>
          <w:p w:rsidR="00090548" w:rsidRDefault="00090548" w:rsidP="004413F0"/>
          <w:p w:rsidR="00090548" w:rsidRDefault="00090548" w:rsidP="004413F0">
            <w:r>
              <w:t xml:space="preserve">Partene bør i stevning og tilsvar gi uttrykk for et begrunnet syn på hvor lang tid som bør settes av til hovedforhandlingen i saken. Det må tas hensyn til at tidsbruken og kostnadene skal stå i et rimelig forhold til sakens betydning. </w:t>
            </w:r>
          </w:p>
          <w:p w:rsidR="00090548" w:rsidRDefault="00090548" w:rsidP="004413F0"/>
          <w:p w:rsidR="00090548" w:rsidRDefault="00090548" w:rsidP="004413F0">
            <w:r w:rsidRPr="00B52A6B">
              <w:t xml:space="preserve">Retten </w:t>
            </w:r>
            <w:r>
              <w:t>har som utgangspunkt</w:t>
            </w:r>
            <w:r w:rsidRPr="00B52A6B">
              <w:t xml:space="preserve"> at en advokat som påtar seg </w:t>
            </w:r>
            <w:r>
              <w:t xml:space="preserve">et </w:t>
            </w:r>
            <w:r w:rsidRPr="00B52A6B">
              <w:t xml:space="preserve">prosessoppdrag, har anledning til å møte til hovedforhandling innenfor lovens frist på </w:t>
            </w:r>
            <w:r w:rsidR="00B44EC8">
              <w:t>seks</w:t>
            </w:r>
            <w:r w:rsidR="00B44EC8" w:rsidRPr="00B52A6B">
              <w:t xml:space="preserve"> </w:t>
            </w:r>
            <w:r w:rsidRPr="00B52A6B">
              <w:t>måneder</w:t>
            </w:r>
            <w:r>
              <w:t xml:space="preserve">. </w:t>
            </w:r>
            <w:r w:rsidRPr="007E5C6E">
              <w:t xml:space="preserve">At prosessfullmektigen ikke har </w:t>
            </w:r>
            <w:r w:rsidR="0073669E">
              <w:t>anledning til å møte innenfor fristen</w:t>
            </w:r>
            <w:r>
              <w:t>, vil vanligvis</w:t>
            </w:r>
            <w:r w:rsidRPr="007E5C6E">
              <w:t xml:space="preserve"> ikke være tilstrekkelig til å beramme hovedforhandling senere enn lovens frist. </w:t>
            </w:r>
          </w:p>
          <w:p w:rsidR="00090548" w:rsidRDefault="00090548" w:rsidP="004413F0"/>
          <w:p w:rsidR="00090548" w:rsidRDefault="00090548" w:rsidP="004413F0"/>
        </w:tc>
      </w:tr>
      <w:tr w:rsidR="00090548" w:rsidTr="004413F0">
        <w:tc>
          <w:tcPr>
            <w:tcW w:w="2122" w:type="dxa"/>
          </w:tcPr>
          <w:p w:rsidR="00090548" w:rsidRPr="00B113A3" w:rsidRDefault="00090548" w:rsidP="00864B9C">
            <w:pPr>
              <w:pStyle w:val="Overskrift2"/>
              <w:outlineLvl w:val="1"/>
            </w:pPr>
            <w:bookmarkStart w:id="3" w:name="_Toc532806961"/>
            <w:r w:rsidRPr="00B113A3">
              <w:t>Rettsmekling</w:t>
            </w:r>
            <w:bookmarkEnd w:id="3"/>
          </w:p>
        </w:tc>
        <w:tc>
          <w:tcPr>
            <w:tcW w:w="6940" w:type="dxa"/>
          </w:tcPr>
          <w:p w:rsidR="00090548" w:rsidRDefault="00090548" w:rsidP="004413F0">
            <w:r>
              <w:t>Rettsmekling er et tilbud fra domstolen om bidrag til løsning av saken på en rask og hensiktsmessig måte for alle parter.</w:t>
            </w:r>
          </w:p>
          <w:p w:rsidR="00090548" w:rsidRDefault="00090548" w:rsidP="004413F0"/>
          <w:p w:rsidR="00090548" w:rsidRDefault="00090548" w:rsidP="004413F0">
            <w:r>
              <w:t>Partene bør opplyse i stevning og tilsvar om rettsmekling anses ønskelig. Dersom en part ikke ønsker rettsmekling, bør det</w:t>
            </w:r>
            <w:r w:rsidR="00EB7771">
              <w:t xml:space="preserve">te </w:t>
            </w:r>
            <w:r>
              <w:t xml:space="preserve">begrunnes. </w:t>
            </w:r>
          </w:p>
          <w:p w:rsidR="00090548" w:rsidRDefault="00090548" w:rsidP="004413F0"/>
          <w:p w:rsidR="00090548" w:rsidRDefault="00090548" w:rsidP="004413F0">
            <w:r>
              <w:t xml:space="preserve">Retten vil tidlig under saksforberedelsen ta opp med partene om rettsmekling skal gjennomføres. </w:t>
            </w:r>
            <w:r w:rsidR="00EB7771">
              <w:t xml:space="preserve">Både retten og partene kan ta dette opp på nytt på et senere tidspunkt. </w:t>
            </w:r>
          </w:p>
          <w:p w:rsidR="00090548" w:rsidRDefault="00090548" w:rsidP="004413F0"/>
          <w:p w:rsidR="00090548" w:rsidRDefault="00090548" w:rsidP="004413F0">
            <w:r>
              <w:lastRenderedPageBreak/>
              <w:t>Før rettsmeklingsmøtet vil retten i samråd med partene forberede gjennomføringen av rettsmeklingen. Det kan bli besluttet å utsette annen saksforberedelse til etter rettsmeklingsmøtet.</w:t>
            </w:r>
          </w:p>
          <w:p w:rsidR="00090548" w:rsidRDefault="00090548" w:rsidP="004413F0"/>
        </w:tc>
      </w:tr>
      <w:tr w:rsidR="00D3230B" w:rsidRPr="00D3230B" w:rsidTr="004413F0">
        <w:tc>
          <w:tcPr>
            <w:tcW w:w="2122" w:type="dxa"/>
          </w:tcPr>
          <w:p w:rsidR="00090548" w:rsidRPr="00D3230B" w:rsidRDefault="00090548" w:rsidP="00864B9C">
            <w:pPr>
              <w:pStyle w:val="Overskrift2"/>
              <w:outlineLvl w:val="1"/>
              <w:rPr>
                <w:color w:val="000000" w:themeColor="text1"/>
              </w:rPr>
            </w:pPr>
            <w:bookmarkStart w:id="4" w:name="_Toc532806962"/>
            <w:r w:rsidRPr="00D3230B">
              <w:rPr>
                <w:color w:val="000000" w:themeColor="text1"/>
              </w:rPr>
              <w:lastRenderedPageBreak/>
              <w:t>Planmøte</w:t>
            </w:r>
            <w:bookmarkEnd w:id="4"/>
          </w:p>
        </w:tc>
        <w:tc>
          <w:tcPr>
            <w:tcW w:w="6940" w:type="dxa"/>
          </w:tcPr>
          <w:p w:rsidR="00090548" w:rsidRPr="00D3230B" w:rsidRDefault="00090548" w:rsidP="004413F0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 xml:space="preserve">Retten skal aktivt og planmessig styre saksforberedelsen for å oppnå en rask, prosessøkonomisk og forsvarlig behandling av saken.  </w:t>
            </w: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 xml:space="preserve">Gjennomføring av planmøte etter tvisteloven § 9-4 er et viktig ledd i saksforberedelsen. Planmøte skal holdes i alle saker dersom dette ikke åpenbart er unødvendig, eller et særlig behov for rask framdrift gjør det nødvendig med planlegging på annen måte. </w:t>
            </w: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 xml:space="preserve">Planmøte gjennomføres normalt mellom retten og partenes prosessfullmektiger. </w:t>
            </w:r>
            <w:r w:rsidR="0075588B" w:rsidRPr="00D3230B">
              <w:rPr>
                <w:color w:val="000000" w:themeColor="text1"/>
              </w:rPr>
              <w:t>Retten forutsetter at p</w:t>
            </w:r>
            <w:r w:rsidRPr="00D3230B">
              <w:rPr>
                <w:color w:val="000000" w:themeColor="text1"/>
              </w:rPr>
              <w:t>rosessfullmektigene</w:t>
            </w:r>
            <w:r w:rsidR="0075588B" w:rsidRPr="00D3230B">
              <w:rPr>
                <w:color w:val="000000" w:themeColor="text1"/>
              </w:rPr>
              <w:t xml:space="preserve"> før møtet har gjennomgått punktene i innkallingen med sine parter og har</w:t>
            </w:r>
            <w:r w:rsidRPr="00D3230B">
              <w:rPr>
                <w:color w:val="000000" w:themeColor="text1"/>
              </w:rPr>
              <w:t xml:space="preserve"> foretatt nødven</w:t>
            </w:r>
            <w:r w:rsidR="0075588B" w:rsidRPr="00D3230B">
              <w:rPr>
                <w:color w:val="000000" w:themeColor="text1"/>
              </w:rPr>
              <w:t>dige avklaringer</w:t>
            </w:r>
            <w:r w:rsidRPr="00D3230B">
              <w:rPr>
                <w:color w:val="000000" w:themeColor="text1"/>
              </w:rPr>
              <w:t>.</w:t>
            </w: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>Planmøte holdes så tidlig som mulig etter innkommet tilsvar. Det holdes oftest som fjernmøte, men det bør vurderes om formålene med møtet bedre kan oppnås ved et ordinært rettsmøte.</w:t>
            </w: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 xml:space="preserve">Planmøtet skal fastlegge rammene for behandlingen av saken. Dette vil skje med utgangspunkt i de omtvistede spørsmålene og ut fra hensynet til proporsjonalitet. Partene må kunne begrunne de bevistilbudene som </w:t>
            </w:r>
            <w:r w:rsidR="00B85B3C" w:rsidRPr="00D3230B">
              <w:rPr>
                <w:color w:val="000000" w:themeColor="text1"/>
              </w:rPr>
              <w:t>fram</w:t>
            </w:r>
            <w:r w:rsidRPr="00D3230B">
              <w:rPr>
                <w:color w:val="000000" w:themeColor="text1"/>
              </w:rPr>
              <w:t>settes, og påvise at de påberopte bevisene er av betydning for de spørsmålene som er omtvistet.</w:t>
            </w: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</w:p>
        </w:tc>
      </w:tr>
      <w:tr w:rsidR="00D3230B" w:rsidRPr="00D3230B" w:rsidTr="004413F0">
        <w:tc>
          <w:tcPr>
            <w:tcW w:w="2122" w:type="dxa"/>
          </w:tcPr>
          <w:p w:rsidR="00090548" w:rsidRPr="00D3230B" w:rsidRDefault="00090548" w:rsidP="00864B9C">
            <w:pPr>
              <w:pStyle w:val="Overskrift2"/>
              <w:outlineLvl w:val="1"/>
              <w:rPr>
                <w:color w:val="000000" w:themeColor="text1"/>
              </w:rPr>
            </w:pPr>
            <w:bookmarkStart w:id="5" w:name="_Toc532806963"/>
            <w:r w:rsidRPr="00D3230B">
              <w:rPr>
                <w:color w:val="000000" w:themeColor="text1"/>
              </w:rPr>
              <w:t>Videre saksforberedelse</w:t>
            </w:r>
            <w:bookmarkEnd w:id="5"/>
          </w:p>
          <w:p w:rsidR="00090548" w:rsidRPr="00D3230B" w:rsidRDefault="00090548" w:rsidP="004413F0">
            <w:pPr>
              <w:rPr>
                <w:i/>
                <w:color w:val="000000" w:themeColor="text1"/>
              </w:rPr>
            </w:pPr>
          </w:p>
          <w:p w:rsidR="00090548" w:rsidRPr="00D3230B" w:rsidRDefault="00090548" w:rsidP="004413F0">
            <w:pPr>
              <w:rPr>
                <w:i/>
                <w:color w:val="000000" w:themeColor="text1"/>
              </w:rPr>
            </w:pPr>
          </w:p>
        </w:tc>
        <w:tc>
          <w:tcPr>
            <w:tcW w:w="6940" w:type="dxa"/>
          </w:tcPr>
          <w:p w:rsidR="00864B9C" w:rsidRPr="00D3230B" w:rsidRDefault="00090548" w:rsidP="00B6600C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>Dersom det er nødvendig med ytterligere prosesskriv under saksforberedelsen</w:t>
            </w:r>
            <w:r w:rsidR="00864B9C" w:rsidRPr="00D3230B">
              <w:rPr>
                <w:color w:val="000000" w:themeColor="text1"/>
              </w:rPr>
              <w:t>,</w:t>
            </w:r>
            <w:r w:rsidRPr="00D3230B">
              <w:rPr>
                <w:color w:val="000000" w:themeColor="text1"/>
              </w:rPr>
              <w:t xml:space="preserve"> skal disse utformes i samsvar med tvisteloven § 12-2. </w:t>
            </w:r>
            <w:r w:rsidR="00776DF1" w:rsidRPr="00D3230B">
              <w:rPr>
                <w:color w:val="000000" w:themeColor="text1"/>
              </w:rPr>
              <w:t>P</w:t>
            </w:r>
            <w:r w:rsidR="00864B9C" w:rsidRPr="00D3230B">
              <w:rPr>
                <w:color w:val="000000" w:themeColor="text1"/>
              </w:rPr>
              <w:t xml:space="preserve">rosesskriv bør </w:t>
            </w:r>
            <w:r w:rsidR="00833254">
              <w:rPr>
                <w:color w:val="000000" w:themeColor="text1"/>
              </w:rPr>
              <w:t>ha en stram form.</w:t>
            </w:r>
            <w:r w:rsidR="00776DF1" w:rsidRPr="00D3230B">
              <w:rPr>
                <w:color w:val="000000" w:themeColor="text1"/>
              </w:rPr>
              <w:t xml:space="preserve"> Det er unødvendig med </w:t>
            </w:r>
            <w:r w:rsidR="00C31B10" w:rsidRPr="00D3230B">
              <w:rPr>
                <w:color w:val="000000" w:themeColor="text1"/>
              </w:rPr>
              <w:t xml:space="preserve">detaljert </w:t>
            </w:r>
            <w:r w:rsidR="00776DF1" w:rsidRPr="00D3230B">
              <w:rPr>
                <w:color w:val="000000" w:themeColor="text1"/>
              </w:rPr>
              <w:t>argumentasjon</w:t>
            </w:r>
            <w:r w:rsidR="00C31B10" w:rsidRPr="00D3230B">
              <w:rPr>
                <w:color w:val="000000" w:themeColor="text1"/>
              </w:rPr>
              <w:t xml:space="preserve"> om spørsmål som skal behandles under hovedforhandlingen.</w:t>
            </w:r>
            <w:r w:rsidR="00776DF1" w:rsidRPr="00D3230B">
              <w:rPr>
                <w:color w:val="000000" w:themeColor="text1"/>
              </w:rPr>
              <w:t xml:space="preserve"> Gjentakelser fra tidligere dokumenter </w:t>
            </w:r>
            <w:r w:rsidR="00C31B10" w:rsidRPr="00D3230B">
              <w:rPr>
                <w:color w:val="000000" w:themeColor="text1"/>
              </w:rPr>
              <w:t>bør unngås.</w:t>
            </w:r>
          </w:p>
          <w:p w:rsidR="00B6600C" w:rsidRPr="00D3230B" w:rsidRDefault="00B6600C" w:rsidP="00B6600C">
            <w:pPr>
              <w:rPr>
                <w:color w:val="000000" w:themeColor="text1"/>
              </w:rPr>
            </w:pPr>
          </w:p>
        </w:tc>
      </w:tr>
      <w:tr w:rsidR="00D3230B" w:rsidRPr="00D3230B" w:rsidTr="004413F0">
        <w:tc>
          <w:tcPr>
            <w:tcW w:w="2122" w:type="dxa"/>
          </w:tcPr>
          <w:p w:rsidR="004176F1" w:rsidRPr="00D3230B" w:rsidRDefault="004176F1" w:rsidP="00766EBD">
            <w:pPr>
              <w:pStyle w:val="Overskrift2"/>
              <w:outlineLvl w:val="1"/>
              <w:rPr>
                <w:color w:val="000000" w:themeColor="text1"/>
              </w:rPr>
            </w:pPr>
            <w:bookmarkStart w:id="6" w:name="_Toc532806964"/>
            <w:r w:rsidRPr="00D3230B">
              <w:rPr>
                <w:color w:val="000000" w:themeColor="text1"/>
              </w:rPr>
              <w:t>Avslutning av saksforberedelse</w:t>
            </w:r>
            <w:r w:rsidR="00070D74" w:rsidRPr="00D3230B">
              <w:rPr>
                <w:color w:val="000000" w:themeColor="text1"/>
              </w:rPr>
              <w:t>n</w:t>
            </w:r>
            <w:bookmarkEnd w:id="6"/>
          </w:p>
          <w:p w:rsidR="004176F1" w:rsidRPr="00D3230B" w:rsidRDefault="004176F1" w:rsidP="00950F5E">
            <w:pPr>
              <w:rPr>
                <w:color w:val="000000" w:themeColor="text1"/>
              </w:rPr>
            </w:pPr>
          </w:p>
        </w:tc>
        <w:tc>
          <w:tcPr>
            <w:tcW w:w="6940" w:type="dxa"/>
          </w:tcPr>
          <w:p w:rsidR="004176F1" w:rsidRPr="00D3230B" w:rsidRDefault="00034BF2" w:rsidP="004176F1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>Tidspunkt for avslutning av s</w:t>
            </w:r>
            <w:r w:rsidR="004176F1" w:rsidRPr="00D3230B">
              <w:rPr>
                <w:color w:val="000000" w:themeColor="text1"/>
              </w:rPr>
              <w:t xml:space="preserve">aksforberedelsen </w:t>
            </w:r>
            <w:r w:rsidRPr="00D3230B">
              <w:rPr>
                <w:color w:val="000000" w:themeColor="text1"/>
              </w:rPr>
              <w:t xml:space="preserve">fastsettes i samsvar med </w:t>
            </w:r>
            <w:r w:rsidR="00C31B10" w:rsidRPr="00D3230B">
              <w:rPr>
                <w:color w:val="000000" w:themeColor="text1"/>
              </w:rPr>
              <w:t xml:space="preserve">tvisteloven § </w:t>
            </w:r>
            <w:r w:rsidRPr="00D3230B">
              <w:rPr>
                <w:color w:val="000000" w:themeColor="text1"/>
              </w:rPr>
              <w:t>9-10 første led</w:t>
            </w:r>
            <w:r w:rsidR="0063525A" w:rsidRPr="00D3230B">
              <w:rPr>
                <w:color w:val="000000" w:themeColor="text1"/>
              </w:rPr>
              <w:t>d</w:t>
            </w:r>
            <w:r w:rsidR="004176F1" w:rsidRPr="00D3230B">
              <w:rPr>
                <w:color w:val="000000" w:themeColor="text1"/>
              </w:rPr>
              <w:t>.</w:t>
            </w:r>
          </w:p>
          <w:p w:rsidR="0063525A" w:rsidRPr="00D3230B" w:rsidRDefault="0063525A" w:rsidP="004176F1">
            <w:pPr>
              <w:rPr>
                <w:color w:val="000000" w:themeColor="text1"/>
              </w:rPr>
            </w:pPr>
          </w:p>
          <w:p w:rsidR="0063525A" w:rsidRPr="00D3230B" w:rsidRDefault="0063525A" w:rsidP="004176F1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 xml:space="preserve">Etter avsluttet saksforberedelse gjelder begrensingene i tvisteloven § 9-16 for endringer av </w:t>
            </w:r>
            <w:r w:rsidR="00950F5E" w:rsidRPr="00D3230B">
              <w:rPr>
                <w:color w:val="000000" w:themeColor="text1"/>
              </w:rPr>
              <w:t>krav, pås</w:t>
            </w:r>
            <w:r w:rsidR="00764369" w:rsidRPr="00D3230B">
              <w:rPr>
                <w:color w:val="000000" w:themeColor="text1"/>
              </w:rPr>
              <w:t>tand, påstandsgrunnlag og bevis</w:t>
            </w:r>
            <w:r w:rsidR="00950F5E" w:rsidRPr="00D3230B">
              <w:rPr>
                <w:color w:val="000000" w:themeColor="text1"/>
              </w:rPr>
              <w:t>.</w:t>
            </w:r>
          </w:p>
          <w:p w:rsidR="004176F1" w:rsidRPr="00D3230B" w:rsidRDefault="004176F1" w:rsidP="0063525A">
            <w:pPr>
              <w:rPr>
                <w:color w:val="000000" w:themeColor="text1"/>
              </w:rPr>
            </w:pPr>
          </w:p>
        </w:tc>
      </w:tr>
      <w:tr w:rsidR="00D3230B" w:rsidRPr="00D3230B" w:rsidTr="004413F0">
        <w:tc>
          <w:tcPr>
            <w:tcW w:w="2122" w:type="dxa"/>
          </w:tcPr>
          <w:p w:rsidR="00090548" w:rsidRPr="00D3230B" w:rsidRDefault="00B6600C" w:rsidP="00766EBD">
            <w:pPr>
              <w:pStyle w:val="Overskrift2"/>
              <w:outlineLvl w:val="1"/>
              <w:rPr>
                <w:color w:val="000000" w:themeColor="text1"/>
              </w:rPr>
            </w:pPr>
            <w:bookmarkStart w:id="7" w:name="_Toc532806965"/>
            <w:r w:rsidRPr="00D3230B">
              <w:rPr>
                <w:color w:val="000000" w:themeColor="text1"/>
              </w:rPr>
              <w:t>Sluttinnlegg og framdriftsplan</w:t>
            </w:r>
            <w:bookmarkEnd w:id="7"/>
          </w:p>
        </w:tc>
        <w:tc>
          <w:tcPr>
            <w:tcW w:w="6940" w:type="dxa"/>
          </w:tcPr>
          <w:p w:rsidR="00090548" w:rsidRPr="00D3230B" w:rsidRDefault="00090548" w:rsidP="004413F0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>Retten vil normalt kreve at partene inngir hvert sitt</w:t>
            </w:r>
            <w:r w:rsidR="000D5C3F" w:rsidRPr="00D3230B">
              <w:rPr>
                <w:color w:val="000000" w:themeColor="text1"/>
              </w:rPr>
              <w:t xml:space="preserve"> sluttinnlegg</w:t>
            </w:r>
            <w:r w:rsidRPr="00D3230B">
              <w:rPr>
                <w:color w:val="000000" w:themeColor="text1"/>
              </w:rPr>
              <w:t>, jf. tvisteloven § 9-10</w:t>
            </w:r>
            <w:r w:rsidR="00950F5E" w:rsidRPr="00D3230B">
              <w:rPr>
                <w:color w:val="000000" w:themeColor="text1"/>
              </w:rPr>
              <w:t xml:space="preserve"> </w:t>
            </w:r>
            <w:r w:rsidR="00D04416" w:rsidRPr="00D3230B">
              <w:rPr>
                <w:color w:val="000000" w:themeColor="text1"/>
              </w:rPr>
              <w:t>annet</w:t>
            </w:r>
            <w:r w:rsidR="00950F5E" w:rsidRPr="00D3230B">
              <w:rPr>
                <w:color w:val="000000" w:themeColor="text1"/>
              </w:rPr>
              <w:t xml:space="preserve"> ledd</w:t>
            </w:r>
            <w:r w:rsidRPr="00D3230B">
              <w:rPr>
                <w:color w:val="000000" w:themeColor="text1"/>
              </w:rPr>
              <w:t xml:space="preserve">. </w:t>
            </w: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</w:p>
          <w:p w:rsidR="00090548" w:rsidRPr="00D3230B" w:rsidRDefault="00950F5E" w:rsidP="00833254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 xml:space="preserve">Forslag til framdriftsplan for hovedforhandlingen skal sendes inn samtidig med sluttinnlegget. </w:t>
            </w:r>
            <w:r w:rsidR="000D5C3F" w:rsidRPr="00D3230B">
              <w:rPr>
                <w:color w:val="000000" w:themeColor="text1"/>
              </w:rPr>
              <w:t xml:space="preserve">Det vil </w:t>
            </w:r>
            <w:r w:rsidR="00D04416" w:rsidRPr="00D3230B">
              <w:rPr>
                <w:color w:val="000000" w:themeColor="text1"/>
              </w:rPr>
              <w:t xml:space="preserve">ofte </w:t>
            </w:r>
            <w:r w:rsidR="000D5C3F" w:rsidRPr="00D3230B">
              <w:rPr>
                <w:color w:val="000000" w:themeColor="text1"/>
              </w:rPr>
              <w:t>være hensiktsmessig at saksøker</w:t>
            </w:r>
            <w:r w:rsidRPr="00D3230B">
              <w:rPr>
                <w:color w:val="000000" w:themeColor="text1"/>
              </w:rPr>
              <w:t>s prosessfullmektig utarbeider</w:t>
            </w:r>
            <w:r w:rsidR="000D5C3F" w:rsidRPr="00D3230B">
              <w:rPr>
                <w:color w:val="000000" w:themeColor="text1"/>
              </w:rPr>
              <w:t xml:space="preserve"> </w:t>
            </w:r>
            <w:r w:rsidRPr="00D3230B">
              <w:rPr>
                <w:color w:val="000000" w:themeColor="text1"/>
              </w:rPr>
              <w:t>førsteutkast til fra</w:t>
            </w:r>
            <w:r w:rsidR="000D5C3F" w:rsidRPr="00D3230B">
              <w:rPr>
                <w:color w:val="000000" w:themeColor="text1"/>
              </w:rPr>
              <w:t xml:space="preserve">mdriftsplan </w:t>
            </w:r>
            <w:r w:rsidR="00764369" w:rsidRPr="00D3230B">
              <w:rPr>
                <w:color w:val="000000" w:themeColor="text1"/>
              </w:rPr>
              <w:t>og sender dette</w:t>
            </w:r>
            <w:r w:rsidRPr="00D3230B">
              <w:rPr>
                <w:color w:val="000000" w:themeColor="text1"/>
              </w:rPr>
              <w:t xml:space="preserve"> til saksøk</w:t>
            </w:r>
            <w:r w:rsidR="008B4F86">
              <w:rPr>
                <w:color w:val="000000" w:themeColor="text1"/>
              </w:rPr>
              <w:t>te</w:t>
            </w:r>
            <w:r w:rsidRPr="00D3230B">
              <w:rPr>
                <w:color w:val="000000" w:themeColor="text1"/>
              </w:rPr>
              <w:t xml:space="preserve">s prosessfullmektig senest to arbeidsdager </w:t>
            </w:r>
            <w:r w:rsidR="00764369" w:rsidRPr="00D3230B">
              <w:rPr>
                <w:color w:val="000000" w:themeColor="text1"/>
              </w:rPr>
              <w:t>før fristen utløper.</w:t>
            </w:r>
            <w:r w:rsidRPr="00D3230B">
              <w:rPr>
                <w:color w:val="000000" w:themeColor="text1"/>
              </w:rPr>
              <w:t xml:space="preserve"> Fra</w:t>
            </w:r>
            <w:r w:rsidR="000D5C3F" w:rsidRPr="00D3230B">
              <w:rPr>
                <w:color w:val="000000" w:themeColor="text1"/>
              </w:rPr>
              <w:t xml:space="preserve">mdriftsplanen skal angi tidspunkter for </w:t>
            </w:r>
            <w:r w:rsidR="00833254">
              <w:rPr>
                <w:color w:val="000000" w:themeColor="text1"/>
              </w:rPr>
              <w:t xml:space="preserve">saksframstilling (innledningsforedrag), avsluttende </w:t>
            </w:r>
            <w:r w:rsidR="000D5C3F" w:rsidRPr="00D3230B">
              <w:rPr>
                <w:color w:val="000000" w:themeColor="text1"/>
              </w:rPr>
              <w:t xml:space="preserve">innlegg </w:t>
            </w:r>
            <w:r w:rsidR="00833254">
              <w:rPr>
                <w:color w:val="000000" w:themeColor="text1"/>
              </w:rPr>
              <w:t xml:space="preserve">(prosedyre) </w:t>
            </w:r>
            <w:r w:rsidR="000D5C3F" w:rsidRPr="00D3230B">
              <w:rPr>
                <w:color w:val="000000" w:themeColor="text1"/>
              </w:rPr>
              <w:t>og forklaringer</w:t>
            </w:r>
            <w:r w:rsidR="00833254">
              <w:rPr>
                <w:color w:val="000000" w:themeColor="text1"/>
              </w:rPr>
              <w:t>,</w:t>
            </w:r>
            <w:r w:rsidR="00764369" w:rsidRPr="00D3230B">
              <w:rPr>
                <w:color w:val="000000" w:themeColor="text1"/>
              </w:rPr>
              <w:t xml:space="preserve"> </w:t>
            </w:r>
            <w:r w:rsidR="00833254">
              <w:rPr>
                <w:color w:val="000000" w:themeColor="text1"/>
              </w:rPr>
              <w:t>samt</w:t>
            </w:r>
            <w:r w:rsidR="00764369" w:rsidRPr="00D3230B">
              <w:rPr>
                <w:color w:val="000000" w:themeColor="text1"/>
              </w:rPr>
              <w:t xml:space="preserve"> ta hensyn til vanlige </w:t>
            </w:r>
            <w:r w:rsidR="000D5C3F" w:rsidRPr="00D3230B">
              <w:rPr>
                <w:color w:val="000000" w:themeColor="text1"/>
              </w:rPr>
              <w:t xml:space="preserve">pauser. </w:t>
            </w:r>
            <w:r w:rsidR="00766EBD" w:rsidRPr="00D3230B">
              <w:rPr>
                <w:color w:val="000000" w:themeColor="text1"/>
              </w:rPr>
              <w:t>Dersom ikke annen melding gis fra retten, vil partenes</w:t>
            </w:r>
            <w:r w:rsidR="000D5C3F" w:rsidRPr="00D3230B">
              <w:rPr>
                <w:color w:val="000000" w:themeColor="text1"/>
              </w:rPr>
              <w:t xml:space="preserve"> </w:t>
            </w:r>
            <w:r w:rsidR="00766EBD" w:rsidRPr="00D3230B">
              <w:rPr>
                <w:color w:val="000000" w:themeColor="text1"/>
              </w:rPr>
              <w:t>forslag til fr</w:t>
            </w:r>
            <w:r w:rsidR="00764369" w:rsidRPr="00D3230B">
              <w:rPr>
                <w:color w:val="000000" w:themeColor="text1"/>
              </w:rPr>
              <w:t>a</w:t>
            </w:r>
            <w:r w:rsidR="00766EBD" w:rsidRPr="00D3230B">
              <w:rPr>
                <w:color w:val="000000" w:themeColor="text1"/>
              </w:rPr>
              <w:t>mdriftsplan bli lagt til g</w:t>
            </w:r>
            <w:r w:rsidR="00A713B5">
              <w:rPr>
                <w:color w:val="000000" w:themeColor="text1"/>
              </w:rPr>
              <w:t>runn for gjennomføringen av hoved</w:t>
            </w:r>
            <w:r w:rsidR="00766EBD" w:rsidRPr="00D3230B">
              <w:rPr>
                <w:color w:val="000000" w:themeColor="text1"/>
              </w:rPr>
              <w:t>forhandlingen.</w:t>
            </w:r>
            <w:r w:rsidR="004176F1" w:rsidRPr="00D3230B">
              <w:rPr>
                <w:color w:val="000000" w:themeColor="text1"/>
              </w:rPr>
              <w:t xml:space="preserve"> </w:t>
            </w:r>
          </w:p>
        </w:tc>
      </w:tr>
    </w:tbl>
    <w:p w:rsidR="00090548" w:rsidRDefault="00090548" w:rsidP="00090548">
      <w:pPr>
        <w:pStyle w:val="Overskrift1"/>
        <w:pageBreakBefore/>
      </w:pPr>
      <w:bookmarkStart w:id="8" w:name="_Toc532806966"/>
      <w:r>
        <w:lastRenderedPageBreak/>
        <w:t>2. HOVEDFORHANDLING</w:t>
      </w:r>
      <w:r w:rsidR="0073669E">
        <w:t>EN</w:t>
      </w:r>
      <w:bookmarkEnd w:id="8"/>
    </w:p>
    <w:p w:rsidR="00090548" w:rsidRDefault="00090548" w:rsidP="00090548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6882"/>
        <w:gridCol w:w="10"/>
      </w:tblGrid>
      <w:tr w:rsidR="00D3230B" w:rsidRPr="00D3230B" w:rsidTr="003C62C7">
        <w:tc>
          <w:tcPr>
            <w:tcW w:w="2180" w:type="dxa"/>
          </w:tcPr>
          <w:p w:rsidR="00090548" w:rsidRPr="00D3230B" w:rsidRDefault="00090548" w:rsidP="00766EBD">
            <w:pPr>
              <w:pStyle w:val="Overskrift2"/>
              <w:outlineLvl w:val="1"/>
              <w:rPr>
                <w:color w:val="000000" w:themeColor="text1"/>
              </w:rPr>
            </w:pPr>
            <w:bookmarkStart w:id="9" w:name="_Toc532806967"/>
            <w:r w:rsidRPr="00D3230B">
              <w:rPr>
                <w:color w:val="000000" w:themeColor="text1"/>
              </w:rPr>
              <w:t>Generelt</w:t>
            </w:r>
            <w:bookmarkEnd w:id="9"/>
          </w:p>
        </w:tc>
        <w:tc>
          <w:tcPr>
            <w:tcW w:w="6892" w:type="dxa"/>
            <w:gridSpan w:val="2"/>
          </w:tcPr>
          <w:p w:rsidR="00090548" w:rsidRPr="00D3230B" w:rsidRDefault="00090548" w:rsidP="004413F0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>Hovedforhandlingen skal konsentreres om de</w:t>
            </w:r>
            <w:r w:rsidR="004176F1" w:rsidRPr="00D3230B">
              <w:rPr>
                <w:color w:val="000000" w:themeColor="text1"/>
              </w:rPr>
              <w:t xml:space="preserve">t partene er uenige om </w:t>
            </w:r>
            <w:r w:rsidR="00A462A2">
              <w:rPr>
                <w:color w:val="000000" w:themeColor="text1"/>
              </w:rPr>
              <w:t>–</w:t>
            </w:r>
            <w:r w:rsidR="004176F1" w:rsidRPr="00D3230B">
              <w:rPr>
                <w:color w:val="000000" w:themeColor="text1"/>
              </w:rPr>
              <w:t xml:space="preserve"> </w:t>
            </w:r>
            <w:r w:rsidRPr="00D3230B">
              <w:rPr>
                <w:color w:val="000000" w:themeColor="text1"/>
              </w:rPr>
              <w:t xml:space="preserve"> tvistepunkte</w:t>
            </w:r>
            <w:r w:rsidR="004176F1" w:rsidRPr="00D3230B">
              <w:rPr>
                <w:color w:val="000000" w:themeColor="text1"/>
              </w:rPr>
              <w:t>ne.</w:t>
            </w:r>
          </w:p>
          <w:p w:rsidR="004176F1" w:rsidRPr="00D3230B" w:rsidRDefault="004176F1" w:rsidP="004413F0">
            <w:pPr>
              <w:rPr>
                <w:color w:val="000000" w:themeColor="text1"/>
              </w:rPr>
            </w:pPr>
          </w:p>
          <w:p w:rsidR="00090548" w:rsidRPr="00D3230B" w:rsidRDefault="0073669E" w:rsidP="004413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Partene har ansvar for å til</w:t>
            </w:r>
            <w:r w:rsidR="00090548" w:rsidRPr="00D3230B">
              <w:rPr>
                <w:color w:val="000000" w:themeColor="text1"/>
              </w:rPr>
              <w:t>passe ressursbruken</w:t>
            </w:r>
            <w:r w:rsidR="00DC066E" w:rsidRPr="00D3230B">
              <w:rPr>
                <w:color w:val="000000" w:themeColor="text1"/>
              </w:rPr>
              <w:t xml:space="preserve"> til sakens </w:t>
            </w:r>
            <w:r w:rsidR="002A1889" w:rsidRPr="00D3230B">
              <w:rPr>
                <w:color w:val="000000" w:themeColor="text1"/>
              </w:rPr>
              <w:t>art og omfang</w:t>
            </w:r>
            <w:r w:rsidR="00503EFA" w:rsidRPr="00D3230B">
              <w:rPr>
                <w:color w:val="000000" w:themeColor="text1"/>
              </w:rPr>
              <w:t>.</w:t>
            </w:r>
            <w:r w:rsidR="00090548" w:rsidRPr="00D3230B">
              <w:rPr>
                <w:color w:val="000000" w:themeColor="text1"/>
              </w:rPr>
              <w:t xml:space="preserve"> Ved </w:t>
            </w:r>
            <w:r>
              <w:rPr>
                <w:color w:val="000000" w:themeColor="text1"/>
              </w:rPr>
              <w:t xml:space="preserve">avgjørelsen </w:t>
            </w:r>
            <w:r w:rsidR="00503EFA" w:rsidRPr="00D3230B">
              <w:rPr>
                <w:color w:val="000000" w:themeColor="text1"/>
              </w:rPr>
              <w:t xml:space="preserve">av krav på </w:t>
            </w:r>
            <w:r w:rsidR="00DC066E" w:rsidRPr="00D3230B">
              <w:rPr>
                <w:color w:val="000000" w:themeColor="text1"/>
              </w:rPr>
              <w:t>sakskostnader v</w:t>
            </w:r>
            <w:r w:rsidR="00090548" w:rsidRPr="00D3230B">
              <w:rPr>
                <w:color w:val="000000" w:themeColor="text1"/>
              </w:rPr>
              <w:t xml:space="preserve">il </w:t>
            </w:r>
            <w:r w:rsidR="00DC066E" w:rsidRPr="00D3230B">
              <w:rPr>
                <w:color w:val="000000" w:themeColor="text1"/>
              </w:rPr>
              <w:t xml:space="preserve">retten legge </w:t>
            </w:r>
            <w:r w:rsidR="00090548" w:rsidRPr="00D3230B">
              <w:rPr>
                <w:color w:val="000000" w:themeColor="text1"/>
              </w:rPr>
              <w:t>vekt på om ressursbruken</w:t>
            </w:r>
            <w:r w:rsidR="00DC066E" w:rsidRPr="00D3230B">
              <w:rPr>
                <w:color w:val="000000" w:themeColor="text1"/>
              </w:rPr>
              <w:t xml:space="preserve"> har vært</w:t>
            </w:r>
            <w:r w:rsidR="00090548" w:rsidRPr="00D3230B">
              <w:rPr>
                <w:color w:val="000000" w:themeColor="text1"/>
              </w:rPr>
              <w:t xml:space="preserve"> rimelig i forhold til sakens betydning, jf.</w:t>
            </w:r>
            <w:r w:rsidR="004176F1" w:rsidRPr="00D3230B">
              <w:rPr>
                <w:color w:val="000000" w:themeColor="text1"/>
              </w:rPr>
              <w:t xml:space="preserve"> tvisteloven</w:t>
            </w:r>
            <w:r w:rsidR="00090548" w:rsidRPr="00D3230B">
              <w:rPr>
                <w:color w:val="000000" w:themeColor="text1"/>
              </w:rPr>
              <w:t xml:space="preserve"> § 20-5 første ledd.</w:t>
            </w: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</w:p>
        </w:tc>
      </w:tr>
      <w:tr w:rsidR="00D3230B" w:rsidRPr="00D3230B" w:rsidTr="00A713B5">
        <w:tblPrEx>
          <w:tblLook w:val="0480" w:firstRow="0" w:lastRow="0" w:firstColumn="1" w:lastColumn="0" w:noHBand="0" w:noVBand="1"/>
        </w:tblPrEx>
        <w:trPr>
          <w:gridAfter w:val="1"/>
          <w:wAfter w:w="10" w:type="dxa"/>
        </w:trPr>
        <w:tc>
          <w:tcPr>
            <w:tcW w:w="2180" w:type="dxa"/>
          </w:tcPr>
          <w:p w:rsidR="003C62C7" w:rsidRPr="00D3230B" w:rsidRDefault="003C62C7" w:rsidP="00142DCD">
            <w:pPr>
              <w:pStyle w:val="Overskrift2"/>
              <w:outlineLvl w:val="1"/>
              <w:rPr>
                <w:color w:val="000000" w:themeColor="text1"/>
              </w:rPr>
            </w:pPr>
            <w:bookmarkStart w:id="10" w:name="_Toc532806968"/>
            <w:r w:rsidRPr="00D3230B">
              <w:rPr>
                <w:color w:val="000000" w:themeColor="text1"/>
              </w:rPr>
              <w:t>Dokumenter til bruk under hovedforhandlingen</w:t>
            </w:r>
            <w:bookmarkEnd w:id="10"/>
          </w:p>
        </w:tc>
        <w:tc>
          <w:tcPr>
            <w:tcW w:w="6882" w:type="dxa"/>
          </w:tcPr>
          <w:p w:rsidR="003C62C7" w:rsidRPr="00D3230B" w:rsidRDefault="003C62C7" w:rsidP="00142DCD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>Det vil i</w:t>
            </w:r>
            <w:r w:rsidR="00EB7771">
              <w:rPr>
                <w:color w:val="000000" w:themeColor="text1"/>
              </w:rPr>
              <w:t xml:space="preserve"> de fleste</w:t>
            </w:r>
            <w:r w:rsidRPr="00D3230B">
              <w:rPr>
                <w:color w:val="000000" w:themeColor="text1"/>
              </w:rPr>
              <w:t xml:space="preserve"> saker være en hjelp for retten om det brukes disposisjon under saks</w:t>
            </w:r>
            <w:r w:rsidR="00B85B3C" w:rsidRPr="00D3230B">
              <w:rPr>
                <w:color w:val="000000" w:themeColor="text1"/>
              </w:rPr>
              <w:t>fram</w:t>
            </w:r>
            <w:r w:rsidRPr="00D3230B">
              <w:rPr>
                <w:color w:val="000000" w:themeColor="text1"/>
              </w:rPr>
              <w:t xml:space="preserve">stilling og prosedyre. </w:t>
            </w:r>
            <w:r w:rsidR="00B95401">
              <w:rPr>
                <w:color w:val="000000" w:themeColor="text1"/>
              </w:rPr>
              <w:t xml:space="preserve">Nøyaktig henvisning til dokumentsamling/faktisk og juridisk utdrag er viktig. </w:t>
            </w:r>
            <w:r w:rsidR="00766B77" w:rsidRPr="0031353E">
              <w:rPr>
                <w:color w:val="000000" w:themeColor="text1"/>
              </w:rPr>
              <w:t>Sitater fra dokumenter og rettskilder i disposisjonen</w:t>
            </w:r>
            <w:r w:rsidR="0031353E">
              <w:rPr>
                <w:color w:val="000000" w:themeColor="text1"/>
              </w:rPr>
              <w:t xml:space="preserve"> bør begrenses</w:t>
            </w:r>
            <w:r w:rsidR="00766B77" w:rsidRPr="0031353E">
              <w:rPr>
                <w:color w:val="000000" w:themeColor="text1"/>
              </w:rPr>
              <w:t>.</w:t>
            </w:r>
            <w:r w:rsidR="00B91AD7">
              <w:rPr>
                <w:color w:val="000000" w:themeColor="text1"/>
              </w:rPr>
              <w:t xml:space="preserve"> </w:t>
            </w:r>
          </w:p>
          <w:p w:rsidR="003C62C7" w:rsidRPr="00D3230B" w:rsidRDefault="003C62C7" w:rsidP="00142DCD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 xml:space="preserve">Andre hjelpedokumenter bør normalt </w:t>
            </w:r>
            <w:r w:rsidR="00B85B3C" w:rsidRPr="00D3230B">
              <w:rPr>
                <w:color w:val="000000" w:themeColor="text1"/>
              </w:rPr>
              <w:t>fram</w:t>
            </w:r>
            <w:r w:rsidRPr="00D3230B">
              <w:rPr>
                <w:color w:val="000000" w:themeColor="text1"/>
              </w:rPr>
              <w:t>legges for motparten forut for hovedforhandlingen, slik at motparten gis nødvendig tid til gjennomgang, jf. tvisteloven § 9-14 annet ledd.</w:t>
            </w:r>
          </w:p>
          <w:p w:rsidR="003C62C7" w:rsidRPr="00D3230B" w:rsidRDefault="003C62C7" w:rsidP="00142DCD">
            <w:pPr>
              <w:rPr>
                <w:color w:val="000000" w:themeColor="text1"/>
              </w:rPr>
            </w:pPr>
          </w:p>
          <w:p w:rsidR="003C62C7" w:rsidRPr="00D3230B" w:rsidRDefault="003C62C7" w:rsidP="00142DCD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>Dersom det skal benyttes juridisk utdrag, bør det dette være felles og utarbeidet i samarbei</w:t>
            </w:r>
            <w:r w:rsidR="00DA648A">
              <w:rPr>
                <w:color w:val="000000" w:themeColor="text1"/>
              </w:rPr>
              <w:t xml:space="preserve">d mellom partene. Utdraget bør </w:t>
            </w:r>
            <w:r w:rsidRPr="00D3230B">
              <w:rPr>
                <w:color w:val="000000" w:themeColor="text1"/>
              </w:rPr>
              <w:t>begrenses til rettskilder som det kan bli aktuelt å vise til under hovedforhandlingen.</w:t>
            </w:r>
          </w:p>
          <w:p w:rsidR="003C62C7" w:rsidRPr="00D3230B" w:rsidRDefault="003C62C7" w:rsidP="00142DCD">
            <w:pPr>
              <w:rPr>
                <w:color w:val="000000" w:themeColor="text1"/>
              </w:rPr>
            </w:pPr>
          </w:p>
        </w:tc>
      </w:tr>
      <w:tr w:rsidR="00D3230B" w:rsidRPr="00D3230B" w:rsidTr="003C62C7">
        <w:tc>
          <w:tcPr>
            <w:tcW w:w="2180" w:type="dxa"/>
          </w:tcPr>
          <w:p w:rsidR="00090548" w:rsidRPr="00D3230B" w:rsidRDefault="00C402BF" w:rsidP="00766EBD">
            <w:pPr>
              <w:pStyle w:val="Overskrift2"/>
              <w:outlineLvl w:val="1"/>
              <w:rPr>
                <w:color w:val="000000" w:themeColor="text1"/>
              </w:rPr>
            </w:pPr>
            <w:bookmarkStart w:id="11" w:name="_Toc532806969"/>
            <w:r>
              <w:rPr>
                <w:color w:val="000000" w:themeColor="text1"/>
              </w:rPr>
              <w:t>Rettens i</w:t>
            </w:r>
            <w:r w:rsidR="003104BA" w:rsidRPr="00D3230B">
              <w:rPr>
                <w:color w:val="000000" w:themeColor="text1"/>
              </w:rPr>
              <w:t>nnledning</w:t>
            </w:r>
            <w:r w:rsidR="00090548" w:rsidRPr="00D3230B">
              <w:rPr>
                <w:color w:val="000000" w:themeColor="text1"/>
              </w:rPr>
              <w:t>, partenes saks</w:t>
            </w:r>
            <w:r w:rsidR="00B85B3C" w:rsidRPr="00D3230B">
              <w:rPr>
                <w:color w:val="000000" w:themeColor="text1"/>
              </w:rPr>
              <w:t>fram</w:t>
            </w:r>
            <w:r w:rsidR="00090548" w:rsidRPr="00D3230B">
              <w:rPr>
                <w:color w:val="000000" w:themeColor="text1"/>
              </w:rPr>
              <w:t>stilling</w:t>
            </w:r>
            <w:bookmarkEnd w:id="11"/>
          </w:p>
        </w:tc>
        <w:tc>
          <w:tcPr>
            <w:tcW w:w="6892" w:type="dxa"/>
            <w:gridSpan w:val="2"/>
          </w:tcPr>
          <w:p w:rsidR="00090548" w:rsidRPr="00D3230B" w:rsidRDefault="00090548" w:rsidP="004413F0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 xml:space="preserve">Hovedforhandlingen </w:t>
            </w:r>
            <w:r w:rsidR="000209A8" w:rsidRPr="00D3230B">
              <w:rPr>
                <w:color w:val="000000" w:themeColor="text1"/>
              </w:rPr>
              <w:t>begynner</w:t>
            </w:r>
            <w:r w:rsidRPr="00D3230B">
              <w:rPr>
                <w:color w:val="000000" w:themeColor="text1"/>
              </w:rPr>
              <w:t xml:space="preserve"> med at dommeren klarlegger partenes påstander</w:t>
            </w:r>
            <w:r w:rsidR="000209A8" w:rsidRPr="00D3230B">
              <w:rPr>
                <w:color w:val="000000" w:themeColor="text1"/>
              </w:rPr>
              <w:t xml:space="preserve">, påstandsgrunnlag og bevis, jf. tvisteloven </w:t>
            </w:r>
            <w:r w:rsidR="009711E4" w:rsidRPr="00D3230B">
              <w:rPr>
                <w:color w:val="000000" w:themeColor="text1"/>
              </w:rPr>
              <w:t>§ 9-15 første ledd. Partene kan bli bedt om å foreta nærmere avklaring av enkelte spørsmål. Dommeren kan også ta opp spørsmål som</w:t>
            </w:r>
            <w:r w:rsidR="00B85B3C" w:rsidRPr="00D3230B">
              <w:rPr>
                <w:color w:val="000000" w:themeColor="text1"/>
              </w:rPr>
              <w:t xml:space="preserve"> gjelder gjennomføringen av hoved</w:t>
            </w:r>
            <w:r w:rsidR="0073669E">
              <w:rPr>
                <w:color w:val="000000" w:themeColor="text1"/>
              </w:rPr>
              <w:t>forhandlingen.</w:t>
            </w: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</w:p>
          <w:p w:rsidR="003104BA" w:rsidRPr="00D3230B" w:rsidRDefault="00090548" w:rsidP="004413F0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>Saksøkeren gir en konsentrert saks</w:t>
            </w:r>
            <w:r w:rsidR="00B85B3C" w:rsidRPr="00D3230B">
              <w:rPr>
                <w:color w:val="000000" w:themeColor="text1"/>
              </w:rPr>
              <w:t>fram</w:t>
            </w:r>
            <w:r w:rsidRPr="00D3230B">
              <w:rPr>
                <w:color w:val="000000" w:themeColor="text1"/>
              </w:rPr>
              <w:t xml:space="preserve">stilling tilpasset </w:t>
            </w:r>
            <w:r w:rsidR="005E5346" w:rsidRPr="00D3230B">
              <w:rPr>
                <w:color w:val="000000" w:themeColor="text1"/>
              </w:rPr>
              <w:t>sakens art og omfang</w:t>
            </w:r>
            <w:r w:rsidRPr="00D3230B">
              <w:rPr>
                <w:color w:val="000000" w:themeColor="text1"/>
              </w:rPr>
              <w:t xml:space="preserve"> og gjennomgår </w:t>
            </w:r>
            <w:r w:rsidR="005E5346" w:rsidRPr="00D3230B">
              <w:rPr>
                <w:color w:val="000000" w:themeColor="text1"/>
              </w:rPr>
              <w:t>skriftlige bevis</w:t>
            </w:r>
            <w:r w:rsidRPr="00D3230B">
              <w:rPr>
                <w:color w:val="000000" w:themeColor="text1"/>
              </w:rPr>
              <w:t xml:space="preserve">. </w:t>
            </w:r>
          </w:p>
          <w:p w:rsidR="003104BA" w:rsidRPr="00D3230B" w:rsidRDefault="003104BA" w:rsidP="004413F0">
            <w:pPr>
              <w:rPr>
                <w:color w:val="000000" w:themeColor="text1"/>
              </w:rPr>
            </w:pPr>
          </w:p>
          <w:p w:rsidR="005E5346" w:rsidRPr="00D3230B" w:rsidRDefault="00090548" w:rsidP="004413F0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>Saksøkte redegjør deretter for sitt syn</w:t>
            </w:r>
            <w:r w:rsidR="005E5346" w:rsidRPr="00D3230B">
              <w:rPr>
                <w:color w:val="000000" w:themeColor="text1"/>
              </w:rPr>
              <w:t xml:space="preserve"> og gjennomgår sine skriftlige bevis</w:t>
            </w:r>
            <w:r w:rsidRPr="00D3230B">
              <w:rPr>
                <w:color w:val="000000" w:themeColor="text1"/>
              </w:rPr>
              <w:t>. Innlegget</w:t>
            </w:r>
            <w:r w:rsidR="000209A8" w:rsidRPr="00D3230B">
              <w:rPr>
                <w:color w:val="000000" w:themeColor="text1"/>
              </w:rPr>
              <w:t xml:space="preserve"> </w:t>
            </w:r>
            <w:r w:rsidR="00B85B3C" w:rsidRPr="00D3230B">
              <w:rPr>
                <w:color w:val="000000" w:themeColor="text1"/>
              </w:rPr>
              <w:t xml:space="preserve">bør </w:t>
            </w:r>
            <w:r w:rsidRPr="00D3230B">
              <w:rPr>
                <w:color w:val="000000" w:themeColor="text1"/>
              </w:rPr>
              <w:t>begrenses til korrigeringer og suppleringer, med mindre saksøker</w:t>
            </w:r>
            <w:r w:rsidR="00B85B3C" w:rsidRPr="00D3230B">
              <w:rPr>
                <w:color w:val="000000" w:themeColor="text1"/>
              </w:rPr>
              <w:t>en</w:t>
            </w:r>
            <w:r w:rsidRPr="00D3230B">
              <w:rPr>
                <w:color w:val="000000" w:themeColor="text1"/>
              </w:rPr>
              <w:t xml:space="preserve">s </w:t>
            </w:r>
            <w:r w:rsidR="00B85B3C" w:rsidRPr="00D3230B">
              <w:rPr>
                <w:color w:val="000000" w:themeColor="text1"/>
              </w:rPr>
              <w:t>fram</w:t>
            </w:r>
            <w:r w:rsidRPr="00D3230B">
              <w:rPr>
                <w:color w:val="000000" w:themeColor="text1"/>
              </w:rPr>
              <w:t>stilling eller sakens karakter gjør det nødvendig med e</w:t>
            </w:r>
            <w:r w:rsidR="000209A8" w:rsidRPr="00D3230B">
              <w:rPr>
                <w:color w:val="000000" w:themeColor="text1"/>
              </w:rPr>
              <w:t>n</w:t>
            </w:r>
            <w:r w:rsidRPr="00D3230B">
              <w:rPr>
                <w:color w:val="000000" w:themeColor="text1"/>
              </w:rPr>
              <w:t xml:space="preserve"> mer omfattende </w:t>
            </w:r>
            <w:r w:rsidR="000209A8" w:rsidRPr="00D3230B">
              <w:rPr>
                <w:color w:val="000000" w:themeColor="text1"/>
              </w:rPr>
              <w:t>redegjørelse</w:t>
            </w:r>
            <w:r w:rsidRPr="00D3230B">
              <w:rPr>
                <w:color w:val="000000" w:themeColor="text1"/>
              </w:rPr>
              <w:t xml:space="preserve">. </w:t>
            </w:r>
          </w:p>
          <w:p w:rsidR="005E5346" w:rsidRPr="00D3230B" w:rsidRDefault="005E5346" w:rsidP="004413F0">
            <w:pPr>
              <w:rPr>
                <w:color w:val="000000" w:themeColor="text1"/>
              </w:rPr>
            </w:pPr>
          </w:p>
          <w:p w:rsidR="00090548" w:rsidRPr="00D3230B" w:rsidRDefault="00B85B3C" w:rsidP="004413F0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 xml:space="preserve">Under </w:t>
            </w:r>
            <w:r w:rsidR="005E5346" w:rsidRPr="00D3230B">
              <w:rPr>
                <w:color w:val="000000" w:themeColor="text1"/>
              </w:rPr>
              <w:t>saks</w:t>
            </w:r>
            <w:r w:rsidRPr="00D3230B">
              <w:rPr>
                <w:color w:val="000000" w:themeColor="text1"/>
              </w:rPr>
              <w:t>fram</w:t>
            </w:r>
            <w:r w:rsidR="005E5346" w:rsidRPr="00D3230B">
              <w:rPr>
                <w:color w:val="000000" w:themeColor="text1"/>
              </w:rPr>
              <w:t>stillingen bør partene presentere de re</w:t>
            </w:r>
            <w:r w:rsidRPr="00D3230B">
              <w:rPr>
                <w:color w:val="000000" w:themeColor="text1"/>
              </w:rPr>
              <w:t>ttslige spørsmålene,</w:t>
            </w:r>
            <w:r w:rsidR="005E5346" w:rsidRPr="00D3230B">
              <w:rPr>
                <w:color w:val="000000" w:themeColor="text1"/>
              </w:rPr>
              <w:t xml:space="preserve"> </w:t>
            </w:r>
            <w:r w:rsidRPr="00D3230B">
              <w:rPr>
                <w:color w:val="000000" w:themeColor="text1"/>
              </w:rPr>
              <w:t xml:space="preserve">men ikke komme med </w:t>
            </w:r>
            <w:r w:rsidR="005E5346" w:rsidRPr="00D3230B">
              <w:rPr>
                <w:color w:val="000000" w:themeColor="text1"/>
              </w:rPr>
              <w:t xml:space="preserve">omfattende </w:t>
            </w:r>
            <w:r w:rsidRPr="00D3230B">
              <w:rPr>
                <w:color w:val="000000" w:themeColor="text1"/>
              </w:rPr>
              <w:t xml:space="preserve">rettslig </w:t>
            </w:r>
            <w:r w:rsidR="005E5346" w:rsidRPr="00D3230B">
              <w:rPr>
                <w:color w:val="000000" w:themeColor="text1"/>
              </w:rPr>
              <w:t>argumentasjon</w:t>
            </w:r>
            <w:r w:rsidR="00090548" w:rsidRPr="00D3230B">
              <w:rPr>
                <w:color w:val="000000" w:themeColor="text1"/>
              </w:rPr>
              <w:t xml:space="preserve">. </w:t>
            </w: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</w:p>
        </w:tc>
      </w:tr>
      <w:tr w:rsidR="00D3230B" w:rsidRPr="00D3230B" w:rsidTr="003C62C7">
        <w:tc>
          <w:tcPr>
            <w:tcW w:w="2180" w:type="dxa"/>
          </w:tcPr>
          <w:p w:rsidR="00090548" w:rsidRPr="00D3230B" w:rsidRDefault="00090548" w:rsidP="00766EBD">
            <w:pPr>
              <w:pStyle w:val="Overskrift2"/>
              <w:outlineLvl w:val="1"/>
              <w:rPr>
                <w:color w:val="000000" w:themeColor="text1"/>
              </w:rPr>
            </w:pPr>
            <w:bookmarkStart w:id="12" w:name="_Toc532806970"/>
            <w:r w:rsidRPr="00D3230B">
              <w:rPr>
                <w:color w:val="000000" w:themeColor="text1"/>
              </w:rPr>
              <w:t>Bevisførsel</w:t>
            </w:r>
            <w:r w:rsidR="00B85B3C" w:rsidRPr="00D3230B">
              <w:rPr>
                <w:color w:val="000000" w:themeColor="text1"/>
              </w:rPr>
              <w:t>en</w:t>
            </w:r>
            <w:bookmarkEnd w:id="12"/>
          </w:p>
        </w:tc>
        <w:tc>
          <w:tcPr>
            <w:tcW w:w="6892" w:type="dxa"/>
            <w:gridSpan w:val="2"/>
          </w:tcPr>
          <w:p w:rsidR="00B85B3C" w:rsidRPr="00D3230B" w:rsidRDefault="00B85B3C" w:rsidP="00B85B3C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 xml:space="preserve">Det skal ikke føres bevis om forhold som partene er enige om. Partene kan likevel presentere </w:t>
            </w:r>
            <w:r w:rsidR="00F42D16" w:rsidRPr="00D3230B">
              <w:rPr>
                <w:color w:val="000000" w:themeColor="text1"/>
              </w:rPr>
              <w:t xml:space="preserve">bevis </w:t>
            </w:r>
            <w:r w:rsidRPr="00D3230B">
              <w:rPr>
                <w:color w:val="000000" w:themeColor="text1"/>
              </w:rPr>
              <w:t xml:space="preserve">som </w:t>
            </w:r>
            <w:r w:rsidR="00F42D16" w:rsidRPr="00D3230B">
              <w:rPr>
                <w:color w:val="000000" w:themeColor="text1"/>
              </w:rPr>
              <w:t>er knyttet til uomstridt faktum</w:t>
            </w:r>
            <w:r w:rsidR="008B4F86">
              <w:rPr>
                <w:color w:val="000000" w:themeColor="text1"/>
              </w:rPr>
              <w:t>,</w:t>
            </w:r>
            <w:r w:rsidRPr="00D3230B">
              <w:rPr>
                <w:color w:val="000000" w:themeColor="text1"/>
              </w:rPr>
              <w:t xml:space="preserve"> så langt dette er nødvendig for å sikre rettens forståelse av saken. </w:t>
            </w:r>
          </w:p>
          <w:p w:rsidR="00B85B3C" w:rsidRPr="00D3230B" w:rsidRDefault="00B85B3C" w:rsidP="004413F0">
            <w:pPr>
              <w:rPr>
                <w:color w:val="000000" w:themeColor="text1"/>
              </w:rPr>
            </w:pPr>
          </w:p>
          <w:p w:rsidR="00090548" w:rsidRPr="00D3230B" w:rsidRDefault="00C22759" w:rsidP="004413F0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 xml:space="preserve">Dokumentbevis føres ved at beviset gjennomgås og det som er viktig, påpekes, jf. tvisteloven § 26-2. </w:t>
            </w:r>
            <w:r w:rsidR="00114415">
              <w:rPr>
                <w:color w:val="000000" w:themeColor="text1"/>
              </w:rPr>
              <w:t xml:space="preserve">Opplesning bør begrenses til de delene av dokumentet som er sentrale for partens argumentasjon. </w:t>
            </w: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</w:p>
          <w:p w:rsidR="00C22759" w:rsidRPr="00D3230B" w:rsidRDefault="00090548" w:rsidP="004413F0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>Parts- og vitneforklaring</w:t>
            </w:r>
            <w:r w:rsidR="00C22759" w:rsidRPr="00D3230B">
              <w:rPr>
                <w:color w:val="000000" w:themeColor="text1"/>
              </w:rPr>
              <w:t>er</w:t>
            </w:r>
            <w:r w:rsidRPr="00D3230B">
              <w:rPr>
                <w:color w:val="000000" w:themeColor="text1"/>
              </w:rPr>
              <w:t xml:space="preserve"> </w:t>
            </w:r>
            <w:r w:rsidR="00C22759" w:rsidRPr="00D3230B">
              <w:rPr>
                <w:color w:val="000000" w:themeColor="text1"/>
              </w:rPr>
              <w:t>skal</w:t>
            </w:r>
            <w:r w:rsidR="000209A8" w:rsidRPr="00D3230B">
              <w:rPr>
                <w:color w:val="000000" w:themeColor="text1"/>
              </w:rPr>
              <w:t xml:space="preserve"> gjennomføres</w:t>
            </w:r>
            <w:r w:rsidRPr="00D3230B">
              <w:rPr>
                <w:color w:val="000000" w:themeColor="text1"/>
              </w:rPr>
              <w:t xml:space="preserve"> med konsentrasjon om </w:t>
            </w:r>
            <w:r w:rsidR="00C22759" w:rsidRPr="00D3230B">
              <w:rPr>
                <w:color w:val="000000" w:themeColor="text1"/>
              </w:rPr>
              <w:t>tvistepunktene i saken</w:t>
            </w:r>
            <w:r w:rsidRPr="00D3230B">
              <w:rPr>
                <w:color w:val="000000" w:themeColor="text1"/>
              </w:rPr>
              <w:t xml:space="preserve">. Spørsmål bør stilles i en åpen form. </w:t>
            </w:r>
            <w:r w:rsidR="00C22759" w:rsidRPr="00D3230B">
              <w:rPr>
                <w:color w:val="000000" w:themeColor="text1"/>
              </w:rPr>
              <w:t>L</w:t>
            </w:r>
            <w:r w:rsidRPr="00D3230B">
              <w:rPr>
                <w:color w:val="000000" w:themeColor="text1"/>
              </w:rPr>
              <w:t>edende, argumenterende og uklare spørsmål</w:t>
            </w:r>
            <w:r w:rsidR="00C22759" w:rsidRPr="00D3230B">
              <w:rPr>
                <w:color w:val="000000" w:themeColor="text1"/>
              </w:rPr>
              <w:t xml:space="preserve"> bør unngås</w:t>
            </w:r>
            <w:r w:rsidR="000209A8" w:rsidRPr="00D3230B">
              <w:rPr>
                <w:color w:val="000000" w:themeColor="text1"/>
              </w:rPr>
              <w:t>.</w:t>
            </w:r>
            <w:r w:rsidR="00196092" w:rsidRPr="00D3230B">
              <w:rPr>
                <w:color w:val="000000" w:themeColor="text1"/>
              </w:rPr>
              <w:t xml:space="preserve"> </w:t>
            </w:r>
          </w:p>
          <w:p w:rsidR="00C22759" w:rsidRPr="00D3230B" w:rsidRDefault="00C22759" w:rsidP="004413F0">
            <w:pPr>
              <w:rPr>
                <w:color w:val="000000" w:themeColor="text1"/>
              </w:rPr>
            </w:pPr>
          </w:p>
          <w:p w:rsidR="00904AD7" w:rsidRPr="00D3230B" w:rsidRDefault="00196092" w:rsidP="00904AD7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lastRenderedPageBreak/>
              <w:t>Partene bør løpende vurdere</w:t>
            </w:r>
            <w:r w:rsidR="00904AD7" w:rsidRPr="00D3230B">
              <w:rPr>
                <w:color w:val="000000" w:themeColor="text1"/>
              </w:rPr>
              <w:t xml:space="preserve"> om den bevisførselen som allerede er foretatt</w:t>
            </w:r>
            <w:r w:rsidR="008B4F86">
              <w:rPr>
                <w:color w:val="000000" w:themeColor="text1"/>
              </w:rPr>
              <w:t>,</w:t>
            </w:r>
            <w:r w:rsidR="00904AD7" w:rsidRPr="00D3230B">
              <w:rPr>
                <w:color w:val="000000" w:themeColor="text1"/>
              </w:rPr>
              <w:t xml:space="preserve"> er tilstrekkelig, slik at videre bevisførsel kan frafalles. </w:t>
            </w:r>
          </w:p>
          <w:p w:rsidR="00904AD7" w:rsidRPr="00D3230B" w:rsidRDefault="00196092" w:rsidP="00904AD7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 xml:space="preserve"> </w:t>
            </w:r>
          </w:p>
        </w:tc>
      </w:tr>
      <w:tr w:rsidR="00D3230B" w:rsidRPr="00D3230B" w:rsidTr="003C62C7">
        <w:tc>
          <w:tcPr>
            <w:tcW w:w="2180" w:type="dxa"/>
          </w:tcPr>
          <w:p w:rsidR="00090548" w:rsidRPr="00D3230B" w:rsidRDefault="00904AD7" w:rsidP="00766EBD">
            <w:pPr>
              <w:pStyle w:val="Overskrift2"/>
              <w:outlineLvl w:val="1"/>
              <w:rPr>
                <w:color w:val="000000" w:themeColor="text1"/>
              </w:rPr>
            </w:pPr>
            <w:bookmarkStart w:id="13" w:name="_Toc532806971"/>
            <w:r w:rsidRPr="00D3230B">
              <w:rPr>
                <w:color w:val="000000" w:themeColor="text1"/>
              </w:rPr>
              <w:lastRenderedPageBreak/>
              <w:t>Avsl</w:t>
            </w:r>
            <w:r w:rsidR="0073669E">
              <w:rPr>
                <w:color w:val="000000" w:themeColor="text1"/>
              </w:rPr>
              <w:t>uttende innlegg</w:t>
            </w:r>
            <w:r w:rsidR="00E35723">
              <w:rPr>
                <w:color w:val="000000" w:themeColor="text1"/>
              </w:rPr>
              <w:t xml:space="preserve"> </w:t>
            </w:r>
            <w:r w:rsidR="0073669E">
              <w:rPr>
                <w:color w:val="000000" w:themeColor="text1"/>
              </w:rPr>
              <w:t xml:space="preserve"> –</w:t>
            </w:r>
            <w:r w:rsidR="00E35723">
              <w:rPr>
                <w:color w:val="000000" w:themeColor="text1"/>
              </w:rPr>
              <w:t xml:space="preserve"> </w:t>
            </w:r>
            <w:r w:rsidR="0073669E">
              <w:rPr>
                <w:color w:val="000000" w:themeColor="text1"/>
              </w:rPr>
              <w:t xml:space="preserve">prosedyrer, </w:t>
            </w:r>
            <w:r w:rsidR="00090548" w:rsidRPr="00D3230B">
              <w:rPr>
                <w:color w:val="000000" w:themeColor="text1"/>
              </w:rPr>
              <w:t>replik</w:t>
            </w:r>
            <w:r w:rsidRPr="00D3230B">
              <w:rPr>
                <w:color w:val="000000" w:themeColor="text1"/>
              </w:rPr>
              <w:t xml:space="preserve">k og </w:t>
            </w:r>
            <w:r w:rsidR="00090548" w:rsidRPr="00D3230B">
              <w:rPr>
                <w:color w:val="000000" w:themeColor="text1"/>
              </w:rPr>
              <w:t>duplikk</w:t>
            </w:r>
            <w:bookmarkEnd w:id="13"/>
          </w:p>
        </w:tc>
        <w:tc>
          <w:tcPr>
            <w:tcW w:w="6892" w:type="dxa"/>
            <w:gridSpan w:val="2"/>
          </w:tcPr>
          <w:p w:rsidR="00090548" w:rsidRPr="00D3230B" w:rsidRDefault="00196092" w:rsidP="004413F0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>Prosedyren</w:t>
            </w:r>
            <w:r w:rsidR="00904AD7" w:rsidRPr="00D3230B">
              <w:rPr>
                <w:color w:val="000000" w:themeColor="text1"/>
              </w:rPr>
              <w:t>e</w:t>
            </w:r>
            <w:r w:rsidRPr="00D3230B">
              <w:rPr>
                <w:color w:val="000000" w:themeColor="text1"/>
              </w:rPr>
              <w:t xml:space="preserve"> bør konsentr</w:t>
            </w:r>
            <w:r w:rsidR="00B85B3C" w:rsidRPr="00D3230B">
              <w:rPr>
                <w:color w:val="000000" w:themeColor="text1"/>
              </w:rPr>
              <w:t>er</w:t>
            </w:r>
            <w:r w:rsidRPr="00D3230B">
              <w:rPr>
                <w:color w:val="000000" w:themeColor="text1"/>
              </w:rPr>
              <w:t>es om kommentarer til bevisførselen og sakens rettslige sider.</w:t>
            </w:r>
            <w:bookmarkStart w:id="14" w:name="_GoBack"/>
            <w:bookmarkEnd w:id="14"/>
          </w:p>
          <w:p w:rsidR="00090548" w:rsidRPr="00D3230B" w:rsidRDefault="00090548" w:rsidP="004413F0">
            <w:pPr>
              <w:rPr>
                <w:color w:val="000000" w:themeColor="text1"/>
              </w:rPr>
            </w:pP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 xml:space="preserve">Replikk </w:t>
            </w:r>
            <w:r w:rsidR="00196092" w:rsidRPr="00D3230B">
              <w:rPr>
                <w:color w:val="000000" w:themeColor="text1"/>
              </w:rPr>
              <w:t>bør</w:t>
            </w:r>
            <w:r w:rsidRPr="00D3230B">
              <w:rPr>
                <w:color w:val="000000" w:themeColor="text1"/>
              </w:rPr>
              <w:t xml:space="preserve"> begrenses til det i saksøktes prosedyre som fora</w:t>
            </w:r>
            <w:r w:rsidR="00F64D98" w:rsidRPr="00D3230B">
              <w:rPr>
                <w:color w:val="000000" w:themeColor="text1"/>
              </w:rPr>
              <w:t>nlediger ytterligere behandling. Replikken skal ikke være en</w:t>
            </w:r>
            <w:r w:rsidRPr="00D3230B">
              <w:rPr>
                <w:color w:val="000000" w:themeColor="text1"/>
              </w:rPr>
              <w:t xml:space="preserve"> gjenta</w:t>
            </w:r>
            <w:r w:rsidR="00904AD7" w:rsidRPr="00D3230B">
              <w:rPr>
                <w:color w:val="000000" w:themeColor="text1"/>
              </w:rPr>
              <w:t>k</w:t>
            </w:r>
            <w:r w:rsidRPr="00D3230B">
              <w:rPr>
                <w:color w:val="000000" w:themeColor="text1"/>
              </w:rPr>
              <w:t>else eller vide</w:t>
            </w:r>
            <w:r w:rsidR="00904AD7" w:rsidRPr="00D3230B">
              <w:rPr>
                <w:color w:val="000000" w:themeColor="text1"/>
              </w:rPr>
              <w:t>reføring av saksøker</w:t>
            </w:r>
            <w:r w:rsidR="00F64D98" w:rsidRPr="00D3230B">
              <w:rPr>
                <w:color w:val="000000" w:themeColor="text1"/>
              </w:rPr>
              <w:t>en</w:t>
            </w:r>
            <w:r w:rsidR="00904AD7" w:rsidRPr="00D3230B">
              <w:rPr>
                <w:color w:val="000000" w:themeColor="text1"/>
              </w:rPr>
              <w:t>s prosedyre.</w:t>
            </w: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 xml:space="preserve">Duplikk </w:t>
            </w:r>
            <w:r w:rsidR="00196092" w:rsidRPr="00D3230B">
              <w:rPr>
                <w:color w:val="000000" w:themeColor="text1"/>
              </w:rPr>
              <w:t xml:space="preserve">bør </w:t>
            </w:r>
            <w:r w:rsidRPr="00D3230B">
              <w:rPr>
                <w:color w:val="000000" w:themeColor="text1"/>
              </w:rPr>
              <w:t xml:space="preserve">begrenses til å kommentere </w:t>
            </w:r>
            <w:r w:rsidR="00F64D98" w:rsidRPr="00D3230B">
              <w:rPr>
                <w:color w:val="000000" w:themeColor="text1"/>
              </w:rPr>
              <w:t>spørsmål som er behandlet under replikken.</w:t>
            </w: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</w:p>
        </w:tc>
      </w:tr>
      <w:tr w:rsidR="00D3230B" w:rsidRPr="00D3230B" w:rsidTr="003C62C7">
        <w:tc>
          <w:tcPr>
            <w:tcW w:w="2180" w:type="dxa"/>
          </w:tcPr>
          <w:p w:rsidR="00090548" w:rsidRPr="00D3230B" w:rsidRDefault="00664EA9" w:rsidP="00766EBD">
            <w:pPr>
              <w:pStyle w:val="Overskrift2"/>
              <w:outlineLvl w:val="1"/>
              <w:rPr>
                <w:color w:val="000000" w:themeColor="text1"/>
              </w:rPr>
            </w:pPr>
            <w:bookmarkStart w:id="15" w:name="_Toc532806972"/>
            <w:r w:rsidRPr="00D3230B">
              <w:rPr>
                <w:color w:val="000000" w:themeColor="text1"/>
              </w:rPr>
              <w:t>Sakskostnadsoppgave</w:t>
            </w:r>
            <w:bookmarkEnd w:id="15"/>
          </w:p>
        </w:tc>
        <w:tc>
          <w:tcPr>
            <w:tcW w:w="6892" w:type="dxa"/>
            <w:gridSpan w:val="2"/>
          </w:tcPr>
          <w:p w:rsidR="00090548" w:rsidRPr="00D3230B" w:rsidRDefault="00664EA9" w:rsidP="004413F0">
            <w:pPr>
              <w:rPr>
                <w:color w:val="000000" w:themeColor="text1"/>
              </w:rPr>
            </w:pPr>
            <w:r w:rsidRPr="00D3230B">
              <w:rPr>
                <w:color w:val="000000" w:themeColor="text1"/>
              </w:rPr>
              <w:t>Sakskostnadsoppgave</w:t>
            </w:r>
            <w:r w:rsidR="00F64D98" w:rsidRPr="00D3230B">
              <w:rPr>
                <w:color w:val="000000" w:themeColor="text1"/>
              </w:rPr>
              <w:t>,</w:t>
            </w:r>
            <w:r w:rsidR="00090548" w:rsidRPr="00D3230B">
              <w:rPr>
                <w:color w:val="000000" w:themeColor="text1"/>
              </w:rPr>
              <w:t xml:space="preserve"> </w:t>
            </w:r>
            <w:r w:rsidR="00F64D98" w:rsidRPr="00D3230B">
              <w:rPr>
                <w:color w:val="000000" w:themeColor="text1"/>
              </w:rPr>
              <w:t>utformet i samsvar</w:t>
            </w:r>
            <w:r w:rsidR="00C402BF">
              <w:rPr>
                <w:color w:val="000000" w:themeColor="text1"/>
              </w:rPr>
              <w:t xml:space="preserve"> med kravene i tvisteloven § 20</w:t>
            </w:r>
            <w:r w:rsidR="00C402BF">
              <w:rPr>
                <w:color w:val="000000" w:themeColor="text1"/>
              </w:rPr>
              <w:noBreakHyphen/>
            </w:r>
            <w:r w:rsidR="00F64D98" w:rsidRPr="00D3230B">
              <w:rPr>
                <w:color w:val="000000" w:themeColor="text1"/>
              </w:rPr>
              <w:t>5 tredje ledd,</w:t>
            </w:r>
            <w:r w:rsidRPr="00D3230B">
              <w:rPr>
                <w:color w:val="000000" w:themeColor="text1"/>
              </w:rPr>
              <w:t xml:space="preserve"> skal inngis ved </w:t>
            </w:r>
            <w:r w:rsidR="00090548" w:rsidRPr="00D3230B">
              <w:rPr>
                <w:color w:val="000000" w:themeColor="text1"/>
              </w:rPr>
              <w:t>avslutning</w:t>
            </w:r>
            <w:r w:rsidR="00F64D98" w:rsidRPr="00D3230B">
              <w:rPr>
                <w:color w:val="000000" w:themeColor="text1"/>
              </w:rPr>
              <w:t>en</w:t>
            </w:r>
            <w:r w:rsidR="00090548" w:rsidRPr="00D3230B">
              <w:rPr>
                <w:color w:val="000000" w:themeColor="text1"/>
              </w:rPr>
              <w:t xml:space="preserve"> av hovedforhandlingen. </w:t>
            </w:r>
            <w:r w:rsidR="00F64D98" w:rsidRPr="00D3230B">
              <w:rPr>
                <w:color w:val="000000" w:themeColor="text1"/>
              </w:rPr>
              <w:t xml:space="preserve">Senere supplering av oppgaven tillates bare i den utstrekning størrelsen på enkeltposter på det tidspunkt ikke er kjent. Suppleringen må foretas innen den fristen retten fastsetter. </w:t>
            </w:r>
            <w:r w:rsidRPr="00D3230B">
              <w:rPr>
                <w:color w:val="000000" w:themeColor="text1"/>
              </w:rPr>
              <w:t xml:space="preserve">Dersom det er flere parter på samme side, skal </w:t>
            </w:r>
            <w:r w:rsidR="00F64D98" w:rsidRPr="00D3230B">
              <w:rPr>
                <w:color w:val="000000" w:themeColor="text1"/>
              </w:rPr>
              <w:t>sakskostnadene angis særskilt</w:t>
            </w:r>
            <w:r w:rsidRPr="00D3230B">
              <w:rPr>
                <w:color w:val="000000" w:themeColor="text1"/>
              </w:rPr>
              <w:t xml:space="preserve"> for hver part, jf. tvisteloven § 20-6</w:t>
            </w:r>
            <w:r w:rsidR="00F64D98" w:rsidRPr="00D3230B">
              <w:rPr>
                <w:color w:val="000000" w:themeColor="text1"/>
              </w:rPr>
              <w:t xml:space="preserve"> første ledd</w:t>
            </w:r>
            <w:r w:rsidRPr="00D3230B">
              <w:rPr>
                <w:color w:val="000000" w:themeColor="text1"/>
              </w:rPr>
              <w:t>.</w:t>
            </w:r>
          </w:p>
          <w:p w:rsidR="00090548" w:rsidRPr="00D3230B" w:rsidRDefault="00090548" w:rsidP="004413F0">
            <w:pPr>
              <w:rPr>
                <w:color w:val="000000" w:themeColor="text1"/>
              </w:rPr>
            </w:pPr>
          </w:p>
        </w:tc>
      </w:tr>
    </w:tbl>
    <w:p w:rsidR="00090548" w:rsidRPr="00D3230B" w:rsidRDefault="00090548" w:rsidP="00090548">
      <w:pPr>
        <w:rPr>
          <w:color w:val="000000" w:themeColor="text1"/>
        </w:rPr>
      </w:pPr>
    </w:p>
    <w:p w:rsidR="00090548" w:rsidRPr="00D3230B" w:rsidRDefault="00090548" w:rsidP="00090548">
      <w:pPr>
        <w:rPr>
          <w:color w:val="000000" w:themeColor="text1"/>
        </w:rPr>
      </w:pPr>
    </w:p>
    <w:p w:rsidR="00EF41F6" w:rsidRPr="00D3230B" w:rsidRDefault="00817417">
      <w:pPr>
        <w:rPr>
          <w:color w:val="000000" w:themeColor="text1"/>
        </w:rPr>
      </w:pPr>
    </w:p>
    <w:sectPr w:rsidR="00EF41F6" w:rsidRPr="00D323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48" w:rsidRDefault="00090548" w:rsidP="00090548">
      <w:pPr>
        <w:spacing w:after="0" w:line="240" w:lineRule="auto"/>
      </w:pPr>
      <w:r>
        <w:separator/>
      </w:r>
    </w:p>
  </w:endnote>
  <w:endnote w:type="continuationSeparator" w:id="0">
    <w:p w:rsidR="00090548" w:rsidRDefault="00090548" w:rsidP="0009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323422"/>
      <w:docPartObj>
        <w:docPartGallery w:val="Page Numbers (Bottom of Page)"/>
        <w:docPartUnique/>
      </w:docPartObj>
    </w:sdtPr>
    <w:sdtEndPr/>
    <w:sdtContent>
      <w:p w:rsidR="00664EA9" w:rsidRDefault="00664EA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417">
          <w:rPr>
            <w:noProof/>
          </w:rPr>
          <w:t>5</w:t>
        </w:r>
        <w:r>
          <w:fldChar w:fldCharType="end"/>
        </w:r>
      </w:p>
    </w:sdtContent>
  </w:sdt>
  <w:p w:rsidR="00267726" w:rsidRDefault="00817417" w:rsidP="00664EA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48" w:rsidRDefault="00090548" w:rsidP="00090548">
      <w:pPr>
        <w:spacing w:after="0" w:line="240" w:lineRule="auto"/>
      </w:pPr>
      <w:r>
        <w:separator/>
      </w:r>
    </w:p>
  </w:footnote>
  <w:footnote w:type="continuationSeparator" w:id="0">
    <w:p w:rsidR="00090548" w:rsidRDefault="00090548" w:rsidP="00090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D77"/>
    <w:multiLevelType w:val="hybridMultilevel"/>
    <w:tmpl w:val="14C408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513DC"/>
    <w:multiLevelType w:val="hybridMultilevel"/>
    <w:tmpl w:val="14BA7154"/>
    <w:lvl w:ilvl="0" w:tplc="0D1C59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8"/>
    <w:rsid w:val="000076C1"/>
    <w:rsid w:val="000209A8"/>
    <w:rsid w:val="00034BF2"/>
    <w:rsid w:val="00070D74"/>
    <w:rsid w:val="00090548"/>
    <w:rsid w:val="000A5ABB"/>
    <w:rsid w:val="000D5C3F"/>
    <w:rsid w:val="00114415"/>
    <w:rsid w:val="00196092"/>
    <w:rsid w:val="002A1889"/>
    <w:rsid w:val="003104BA"/>
    <w:rsid w:val="0031353E"/>
    <w:rsid w:val="00346499"/>
    <w:rsid w:val="003C62C7"/>
    <w:rsid w:val="003F02C6"/>
    <w:rsid w:val="004176F1"/>
    <w:rsid w:val="00481464"/>
    <w:rsid w:val="00485079"/>
    <w:rsid w:val="00503EFA"/>
    <w:rsid w:val="0050431D"/>
    <w:rsid w:val="00573D80"/>
    <w:rsid w:val="005E5346"/>
    <w:rsid w:val="0063525A"/>
    <w:rsid w:val="00664EA9"/>
    <w:rsid w:val="00683F9B"/>
    <w:rsid w:val="006B1B4C"/>
    <w:rsid w:val="0073669E"/>
    <w:rsid w:val="0075588B"/>
    <w:rsid w:val="00764369"/>
    <w:rsid w:val="00766B77"/>
    <w:rsid w:val="00766EBD"/>
    <w:rsid w:val="00776DF1"/>
    <w:rsid w:val="007D4E5B"/>
    <w:rsid w:val="007D6177"/>
    <w:rsid w:val="00817417"/>
    <w:rsid w:val="00833254"/>
    <w:rsid w:val="0084657D"/>
    <w:rsid w:val="00864B9C"/>
    <w:rsid w:val="008B4F86"/>
    <w:rsid w:val="008C4C7E"/>
    <w:rsid w:val="00904AD7"/>
    <w:rsid w:val="00941803"/>
    <w:rsid w:val="00950F5E"/>
    <w:rsid w:val="009711E4"/>
    <w:rsid w:val="009B6E65"/>
    <w:rsid w:val="009C5EF6"/>
    <w:rsid w:val="00A462A2"/>
    <w:rsid w:val="00A713B5"/>
    <w:rsid w:val="00B44EC8"/>
    <w:rsid w:val="00B6176C"/>
    <w:rsid w:val="00B6600C"/>
    <w:rsid w:val="00B776DD"/>
    <w:rsid w:val="00B85B3C"/>
    <w:rsid w:val="00B91AD7"/>
    <w:rsid w:val="00B95401"/>
    <w:rsid w:val="00C159CE"/>
    <w:rsid w:val="00C22759"/>
    <w:rsid w:val="00C31B10"/>
    <w:rsid w:val="00C402BF"/>
    <w:rsid w:val="00D04416"/>
    <w:rsid w:val="00D3230B"/>
    <w:rsid w:val="00D906EF"/>
    <w:rsid w:val="00DA648A"/>
    <w:rsid w:val="00DC066E"/>
    <w:rsid w:val="00DF3E58"/>
    <w:rsid w:val="00E17D22"/>
    <w:rsid w:val="00E3466C"/>
    <w:rsid w:val="00E35723"/>
    <w:rsid w:val="00E67DBB"/>
    <w:rsid w:val="00EB7771"/>
    <w:rsid w:val="00EF38BF"/>
    <w:rsid w:val="00F23283"/>
    <w:rsid w:val="00F42D16"/>
    <w:rsid w:val="00F5626E"/>
    <w:rsid w:val="00F64D98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3ACC"/>
  <w15:chartTrackingRefBased/>
  <w15:docId w15:val="{F9CB72A5-74D5-4C22-A52C-7AEA47F8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48"/>
  </w:style>
  <w:style w:type="paragraph" w:styleId="Overskrift1">
    <w:name w:val="heading 1"/>
    <w:basedOn w:val="Normal"/>
    <w:next w:val="Normal"/>
    <w:link w:val="Overskrift1Tegn"/>
    <w:uiPriority w:val="9"/>
    <w:qFormat/>
    <w:rsid w:val="00766EBD"/>
    <w:pPr>
      <w:keepNext/>
      <w:keepLines/>
      <w:spacing w:before="240" w:after="0" w:line="240" w:lineRule="atLeas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6EBD"/>
    <w:pPr>
      <w:widowControl w:val="0"/>
      <w:spacing w:after="0" w:line="240" w:lineRule="auto"/>
      <w:outlineLvl w:val="1"/>
    </w:pPr>
    <w:rPr>
      <w:rFonts w:eastAsiaTheme="majorEastAsia" w:cstheme="majorBidi"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6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9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09054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9054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90548"/>
    <w:rPr>
      <w:vertAlign w:val="superscript"/>
    </w:rPr>
  </w:style>
  <w:style w:type="paragraph" w:styleId="Listeavsnitt">
    <w:name w:val="List Paragraph"/>
    <w:basedOn w:val="Normal"/>
    <w:uiPriority w:val="34"/>
    <w:qFormat/>
    <w:rsid w:val="00090548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9054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90548"/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09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0548"/>
  </w:style>
  <w:style w:type="paragraph" w:styleId="Bunntekst">
    <w:name w:val="footer"/>
    <w:basedOn w:val="Normal"/>
    <w:link w:val="BunntekstTegn"/>
    <w:uiPriority w:val="99"/>
    <w:unhideWhenUsed/>
    <w:rsid w:val="0009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0548"/>
  </w:style>
  <w:style w:type="paragraph" w:styleId="Bobletekst">
    <w:name w:val="Balloon Text"/>
    <w:basedOn w:val="Normal"/>
    <w:link w:val="BobletekstTegn"/>
    <w:uiPriority w:val="99"/>
    <w:semiHidden/>
    <w:unhideWhenUsed/>
    <w:rsid w:val="0009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0548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6EBD"/>
    <w:rPr>
      <w:rFonts w:eastAsiaTheme="majorEastAsia" w:cstheme="majorBidi"/>
      <w:i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66EBD"/>
    <w:p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66EBD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66EBD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766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67B1-AD5D-4996-AB46-2B04F0A8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Domstoladministrasjonen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Gjervold, Kari Hinrichsen</dc:creator>
  <cp:keywords/>
  <dc:description/>
  <cp:lastModifiedBy>Bjelland, Hanne Sofie</cp:lastModifiedBy>
  <cp:revision>4</cp:revision>
  <cp:lastPrinted>2018-12-28T12:40:00Z</cp:lastPrinted>
  <dcterms:created xsi:type="dcterms:W3CDTF">2019-01-29T12:46:00Z</dcterms:created>
  <dcterms:modified xsi:type="dcterms:W3CDTF">2019-01-29T13:01:00Z</dcterms:modified>
</cp:coreProperties>
</file>