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749B3" w14:textId="77777777" w:rsidR="007E4168" w:rsidRDefault="007E4168" w:rsidP="002841E6">
      <w:pPr>
        <w:rPr>
          <w:i/>
          <w:spacing w:val="-5"/>
          <w:sz w:val="24"/>
          <w:szCs w:val="24"/>
          <w:lang w:val="nb-NO"/>
        </w:rPr>
      </w:pPr>
    </w:p>
    <w:p w14:paraId="7A5D9CA7" w14:textId="77777777" w:rsidR="003F71BD" w:rsidRDefault="003F71BD" w:rsidP="002841E6">
      <w:pPr>
        <w:rPr>
          <w:i/>
          <w:spacing w:val="-5"/>
          <w:sz w:val="24"/>
          <w:szCs w:val="24"/>
          <w:lang w:val="nb-NO"/>
        </w:rPr>
      </w:pPr>
    </w:p>
    <w:p w14:paraId="629BE79F" w14:textId="55355729" w:rsidR="002841E6" w:rsidRPr="0016027D" w:rsidRDefault="002841E6" w:rsidP="002841E6">
      <w:pPr>
        <w:rPr>
          <w:rFonts w:asciiTheme="majorHAnsi" w:hAnsiTheme="majorHAnsi" w:cstheme="majorHAnsi"/>
          <w:iCs/>
          <w:spacing w:val="-5"/>
          <w:sz w:val="24"/>
          <w:szCs w:val="24"/>
          <w:lang w:val="nb-NO"/>
        </w:rPr>
      </w:pPr>
      <w:r w:rsidRPr="0016027D">
        <w:rPr>
          <w:rFonts w:asciiTheme="majorHAnsi" w:hAnsiTheme="majorHAnsi" w:cstheme="majorHAnsi"/>
          <w:iCs/>
          <w:spacing w:val="-5"/>
          <w:sz w:val="24"/>
          <w:szCs w:val="24"/>
          <w:lang w:val="nb-NO"/>
        </w:rPr>
        <w:t>Norsk avdeling, ICJ</w:t>
      </w:r>
      <w:r w:rsidR="00C3271F" w:rsidRPr="0016027D">
        <w:rPr>
          <w:rFonts w:asciiTheme="majorHAnsi" w:hAnsiTheme="majorHAnsi" w:cstheme="majorHAnsi"/>
          <w:iCs/>
          <w:spacing w:val="-5"/>
          <w:sz w:val="24"/>
          <w:szCs w:val="24"/>
          <w:lang w:val="nb-NO"/>
        </w:rPr>
        <w:t xml:space="preserve"> </w:t>
      </w:r>
      <w:r w:rsidRPr="0016027D">
        <w:rPr>
          <w:rFonts w:asciiTheme="majorHAnsi" w:hAnsiTheme="majorHAnsi" w:cstheme="majorHAnsi"/>
          <w:iCs/>
          <w:spacing w:val="-5"/>
          <w:sz w:val="24"/>
          <w:szCs w:val="24"/>
          <w:lang w:val="nb-NO"/>
        </w:rPr>
        <w:t>Norge</w:t>
      </w:r>
    </w:p>
    <w:p w14:paraId="4740168C" w14:textId="77777777" w:rsidR="00C3271F" w:rsidRPr="0016027D" w:rsidRDefault="00624C34" w:rsidP="00C3271F">
      <w:pPr>
        <w:rPr>
          <w:sz w:val="20"/>
          <w:szCs w:val="20"/>
          <w:lang w:val="nb-NO"/>
        </w:rPr>
      </w:pPr>
      <w:hyperlink r:id="rId7" w:history="1">
        <w:r w:rsidR="00C3271F" w:rsidRPr="0016027D">
          <w:rPr>
            <w:rStyle w:val="Hyperkobling"/>
            <w:sz w:val="20"/>
            <w:szCs w:val="20"/>
            <w:lang w:val="nb-NO"/>
          </w:rPr>
          <w:t>http://icj.no</w:t>
        </w:r>
      </w:hyperlink>
    </w:p>
    <w:p w14:paraId="54C7CD56" w14:textId="77777777" w:rsidR="00C3271F" w:rsidRDefault="00C3271F" w:rsidP="00C3271F">
      <w:pPr>
        <w:rPr>
          <w:sz w:val="18"/>
          <w:szCs w:val="18"/>
          <w:lang w:val="nb-NO"/>
        </w:rPr>
      </w:pPr>
    </w:p>
    <w:p w14:paraId="00ADE6B5" w14:textId="499E30ED" w:rsidR="00C3271F" w:rsidRPr="001D4C72" w:rsidRDefault="00C3271F" w:rsidP="00C3271F">
      <w:pPr>
        <w:rPr>
          <w:sz w:val="18"/>
          <w:szCs w:val="18"/>
          <w:lang w:val="nb-NO"/>
        </w:rPr>
      </w:pPr>
      <w:r w:rsidRPr="001D4C72">
        <w:rPr>
          <w:sz w:val="18"/>
          <w:szCs w:val="18"/>
          <w:lang w:val="nb-NO"/>
        </w:rPr>
        <w:t>Terje Einarsen</w:t>
      </w:r>
    </w:p>
    <w:p w14:paraId="2A786C2C" w14:textId="77777777" w:rsidR="00C3271F" w:rsidRPr="001D4C72" w:rsidRDefault="00624C34" w:rsidP="00C3271F">
      <w:pPr>
        <w:rPr>
          <w:sz w:val="18"/>
          <w:szCs w:val="18"/>
          <w:lang w:val="nb-NO"/>
        </w:rPr>
      </w:pPr>
      <w:hyperlink r:id="rId8" w:history="1">
        <w:r w:rsidR="00C3271F" w:rsidRPr="00EE7CF3">
          <w:rPr>
            <w:rStyle w:val="Hyperkobling"/>
            <w:sz w:val="18"/>
            <w:szCs w:val="18"/>
            <w:lang w:val="nb-NO"/>
          </w:rPr>
          <w:t>terje.einarsen@uib.no</w:t>
        </w:r>
      </w:hyperlink>
    </w:p>
    <w:p w14:paraId="68DA9339" w14:textId="77777777" w:rsidR="00C3271F" w:rsidRPr="00EE7CF3" w:rsidRDefault="00C3271F" w:rsidP="00C3271F">
      <w:pPr>
        <w:rPr>
          <w:sz w:val="18"/>
          <w:szCs w:val="18"/>
          <w:lang w:val="nb-NO"/>
        </w:rPr>
      </w:pPr>
    </w:p>
    <w:p w14:paraId="015D338C" w14:textId="0565A4D8" w:rsidR="00C3271F" w:rsidRDefault="003F71BD" w:rsidP="00C3271F">
      <w:pPr>
        <w:rPr>
          <w:sz w:val="18"/>
          <w:szCs w:val="18"/>
          <w:lang w:val="nb-NO"/>
        </w:rPr>
      </w:pPr>
      <w:r>
        <w:rPr>
          <w:sz w:val="18"/>
          <w:szCs w:val="18"/>
          <w:lang w:val="nb-NO"/>
        </w:rPr>
        <w:t>Juni</w:t>
      </w:r>
      <w:r>
        <w:rPr>
          <w:sz w:val="18"/>
          <w:szCs w:val="18"/>
          <w:lang w:val="nb-NO"/>
        </w:rPr>
        <w:t xml:space="preserve"> Solbrække</w:t>
      </w:r>
    </w:p>
    <w:p w14:paraId="2771A067" w14:textId="1D556875" w:rsidR="003F71BD" w:rsidRDefault="003F71BD" w:rsidP="00C3271F">
      <w:pPr>
        <w:rPr>
          <w:sz w:val="18"/>
          <w:szCs w:val="18"/>
          <w:lang w:val="nb-NO"/>
        </w:rPr>
      </w:pPr>
      <w:hyperlink r:id="rId9" w:history="1">
        <w:r w:rsidRPr="00466960">
          <w:rPr>
            <w:rStyle w:val="Hyperkobling"/>
            <w:sz w:val="18"/>
            <w:szCs w:val="18"/>
            <w:lang w:val="nb-NO"/>
          </w:rPr>
          <w:t>junisol@gmail.com</w:t>
        </w:r>
      </w:hyperlink>
    </w:p>
    <w:p w14:paraId="0B6AF14B" w14:textId="77777777" w:rsidR="003F71BD" w:rsidRDefault="003F71BD" w:rsidP="00C3271F">
      <w:pPr>
        <w:rPr>
          <w:sz w:val="18"/>
          <w:szCs w:val="18"/>
          <w:lang w:val="nb-NO"/>
        </w:rPr>
      </w:pPr>
    </w:p>
    <w:p w14:paraId="27F537AD" w14:textId="77777777" w:rsidR="003F71BD" w:rsidRPr="0016027D" w:rsidRDefault="003F71BD" w:rsidP="00C3271F">
      <w:pPr>
        <w:rPr>
          <w:sz w:val="18"/>
          <w:szCs w:val="18"/>
          <w:lang w:val="nb-NO"/>
        </w:rPr>
      </w:pPr>
    </w:p>
    <w:p w14:paraId="7C5F6287" w14:textId="2C4103A3" w:rsidR="007E4168" w:rsidRPr="003F71BD" w:rsidRDefault="003F71BD" w:rsidP="002841E6">
      <w:pPr>
        <w:rPr>
          <w:rFonts w:asciiTheme="majorHAnsi" w:hAnsiTheme="majorHAnsi" w:cstheme="majorHAnsi"/>
          <w:b/>
          <w:bCs/>
          <w:spacing w:val="-5"/>
          <w:sz w:val="24"/>
          <w:szCs w:val="24"/>
          <w:lang w:val="nb-NO"/>
        </w:rPr>
      </w:pPr>
      <w:r w:rsidRPr="003F71BD">
        <w:rPr>
          <w:rFonts w:asciiTheme="majorHAnsi" w:hAnsiTheme="majorHAnsi" w:cstheme="majorHAnsi"/>
          <w:b/>
          <w:bCs/>
          <w:spacing w:val="-5"/>
          <w:sz w:val="24"/>
          <w:szCs w:val="24"/>
          <w:lang w:val="nb-NO"/>
        </w:rPr>
        <w:t>Kontroll- og konstitusjonskomiteen</w:t>
      </w:r>
      <w:r w:rsidR="006D0280" w:rsidRPr="003F71BD">
        <w:rPr>
          <w:rFonts w:asciiTheme="majorHAnsi" w:hAnsiTheme="majorHAnsi" w:cstheme="majorHAnsi"/>
          <w:b/>
          <w:bCs/>
          <w:spacing w:val="-5"/>
          <w:sz w:val="24"/>
          <w:szCs w:val="24"/>
          <w:lang w:val="nb-NO"/>
        </w:rPr>
        <w:tab/>
      </w:r>
      <w:r w:rsidR="006D0280" w:rsidRPr="003F71BD">
        <w:rPr>
          <w:rFonts w:asciiTheme="majorHAnsi" w:hAnsiTheme="majorHAnsi" w:cstheme="majorHAnsi"/>
          <w:b/>
          <w:bCs/>
          <w:spacing w:val="-5"/>
          <w:sz w:val="24"/>
          <w:szCs w:val="24"/>
          <w:lang w:val="nb-NO"/>
        </w:rPr>
        <w:tab/>
      </w:r>
      <w:r w:rsidR="006D0280" w:rsidRPr="003F71BD">
        <w:rPr>
          <w:rFonts w:asciiTheme="majorHAnsi" w:hAnsiTheme="majorHAnsi" w:cstheme="majorHAnsi"/>
          <w:b/>
          <w:bCs/>
          <w:spacing w:val="-5"/>
          <w:sz w:val="24"/>
          <w:szCs w:val="24"/>
          <w:lang w:val="nb-NO"/>
        </w:rPr>
        <w:tab/>
      </w:r>
      <w:r w:rsidR="006D0280" w:rsidRPr="003F71BD">
        <w:rPr>
          <w:rFonts w:asciiTheme="majorHAnsi" w:hAnsiTheme="majorHAnsi" w:cstheme="majorHAnsi"/>
          <w:b/>
          <w:bCs/>
          <w:spacing w:val="-5"/>
          <w:sz w:val="24"/>
          <w:szCs w:val="24"/>
          <w:lang w:val="nb-NO"/>
        </w:rPr>
        <w:tab/>
      </w:r>
      <w:r w:rsidR="006D0280" w:rsidRPr="003F71BD">
        <w:rPr>
          <w:rFonts w:asciiTheme="majorHAnsi" w:hAnsiTheme="majorHAnsi" w:cstheme="majorHAnsi"/>
          <w:b/>
          <w:bCs/>
          <w:spacing w:val="-5"/>
          <w:sz w:val="24"/>
          <w:szCs w:val="24"/>
          <w:lang w:val="nb-NO"/>
        </w:rPr>
        <w:tab/>
      </w:r>
      <w:r w:rsidR="006D0280" w:rsidRPr="003F71BD">
        <w:rPr>
          <w:rFonts w:asciiTheme="majorHAnsi" w:hAnsiTheme="majorHAnsi" w:cstheme="majorHAnsi"/>
          <w:b/>
          <w:bCs/>
          <w:spacing w:val="-5"/>
          <w:sz w:val="24"/>
          <w:szCs w:val="24"/>
          <w:lang w:val="nb-NO"/>
        </w:rPr>
        <w:tab/>
      </w:r>
      <w:r w:rsidR="006D0280" w:rsidRPr="003F71BD">
        <w:rPr>
          <w:rFonts w:asciiTheme="majorHAnsi" w:hAnsiTheme="majorHAnsi" w:cstheme="majorHAnsi"/>
          <w:b/>
          <w:bCs/>
          <w:spacing w:val="-5"/>
          <w:sz w:val="24"/>
          <w:szCs w:val="24"/>
          <w:lang w:val="nb-NO"/>
        </w:rPr>
        <w:tab/>
      </w:r>
      <w:r w:rsidR="006D0280" w:rsidRPr="003F71BD">
        <w:rPr>
          <w:rFonts w:asciiTheme="majorHAnsi" w:hAnsiTheme="majorHAnsi" w:cstheme="majorHAnsi"/>
          <w:b/>
          <w:bCs/>
          <w:spacing w:val="-5"/>
          <w:sz w:val="24"/>
          <w:szCs w:val="24"/>
          <w:lang w:val="nb-NO"/>
        </w:rPr>
        <w:tab/>
      </w:r>
      <w:r w:rsidR="006D0280" w:rsidRPr="003F71BD">
        <w:rPr>
          <w:rFonts w:asciiTheme="majorHAnsi" w:hAnsiTheme="majorHAnsi" w:cstheme="majorHAnsi"/>
          <w:b/>
          <w:bCs/>
          <w:spacing w:val="-5"/>
          <w:sz w:val="24"/>
          <w:szCs w:val="24"/>
          <w:lang w:val="nb-NO"/>
        </w:rPr>
        <w:tab/>
        <w:t xml:space="preserve">              </w:t>
      </w:r>
    </w:p>
    <w:p w14:paraId="3FC72A4A" w14:textId="23D6FE08" w:rsidR="00A31B75" w:rsidRPr="0016027D" w:rsidRDefault="00D55C18" w:rsidP="0016027D">
      <w:pPr>
        <w:ind w:left="7200"/>
        <w:rPr>
          <w:rFonts w:asciiTheme="majorHAnsi" w:hAnsiTheme="majorHAnsi" w:cstheme="majorHAnsi"/>
          <w:spacing w:val="-5"/>
          <w:sz w:val="20"/>
          <w:szCs w:val="20"/>
          <w:lang w:val="nb-NO"/>
        </w:rPr>
      </w:pPr>
      <w:r w:rsidRPr="0016027D">
        <w:rPr>
          <w:rFonts w:asciiTheme="majorHAnsi" w:hAnsiTheme="majorHAnsi" w:cstheme="majorHAnsi"/>
          <w:spacing w:val="-5"/>
          <w:sz w:val="20"/>
          <w:szCs w:val="20"/>
          <w:lang w:val="nb-NO"/>
        </w:rPr>
        <w:t>Oslo</w:t>
      </w:r>
      <w:r w:rsidR="00AE4112" w:rsidRPr="0016027D">
        <w:rPr>
          <w:rFonts w:asciiTheme="majorHAnsi" w:hAnsiTheme="majorHAnsi" w:cstheme="majorHAnsi"/>
          <w:spacing w:val="-5"/>
          <w:sz w:val="20"/>
          <w:szCs w:val="20"/>
          <w:lang w:val="nb-NO"/>
        </w:rPr>
        <w:t>/Bergen</w:t>
      </w:r>
      <w:r w:rsidR="006D0280" w:rsidRPr="0016027D">
        <w:rPr>
          <w:rFonts w:asciiTheme="majorHAnsi" w:hAnsiTheme="majorHAnsi" w:cstheme="majorHAnsi"/>
          <w:spacing w:val="-5"/>
          <w:sz w:val="20"/>
          <w:szCs w:val="20"/>
          <w:lang w:val="nb-NO"/>
        </w:rPr>
        <w:t xml:space="preserve"> </w:t>
      </w:r>
      <w:r w:rsidR="003F71BD">
        <w:rPr>
          <w:rFonts w:asciiTheme="majorHAnsi" w:hAnsiTheme="majorHAnsi" w:cstheme="majorHAnsi"/>
          <w:spacing w:val="-5"/>
          <w:sz w:val="20"/>
          <w:szCs w:val="20"/>
          <w:lang w:val="nb-NO"/>
        </w:rPr>
        <w:t>12</w:t>
      </w:r>
      <w:r w:rsidR="004E59DD" w:rsidRPr="0016027D">
        <w:rPr>
          <w:rFonts w:asciiTheme="majorHAnsi" w:hAnsiTheme="majorHAnsi" w:cstheme="majorHAnsi"/>
          <w:spacing w:val="-5"/>
          <w:sz w:val="20"/>
          <w:szCs w:val="20"/>
          <w:lang w:val="nb-NO"/>
        </w:rPr>
        <w:t xml:space="preserve">. </w:t>
      </w:r>
      <w:r w:rsidR="003F71BD">
        <w:rPr>
          <w:rFonts w:asciiTheme="majorHAnsi" w:hAnsiTheme="majorHAnsi" w:cstheme="majorHAnsi"/>
          <w:spacing w:val="-5"/>
          <w:sz w:val="20"/>
          <w:szCs w:val="20"/>
          <w:lang w:val="nb-NO"/>
        </w:rPr>
        <w:t>mai</w:t>
      </w:r>
      <w:r w:rsidR="006D0280" w:rsidRPr="0016027D">
        <w:rPr>
          <w:rFonts w:asciiTheme="majorHAnsi" w:hAnsiTheme="majorHAnsi" w:cstheme="majorHAnsi"/>
          <w:spacing w:val="-5"/>
          <w:sz w:val="20"/>
          <w:szCs w:val="20"/>
          <w:lang w:val="nb-NO"/>
        </w:rPr>
        <w:t xml:space="preserve"> 20</w:t>
      </w:r>
      <w:r w:rsidR="00AE4112" w:rsidRPr="0016027D">
        <w:rPr>
          <w:rFonts w:asciiTheme="majorHAnsi" w:hAnsiTheme="majorHAnsi" w:cstheme="majorHAnsi"/>
          <w:spacing w:val="-5"/>
          <w:sz w:val="20"/>
          <w:szCs w:val="20"/>
          <w:lang w:val="nb-NO"/>
        </w:rPr>
        <w:t>20</w:t>
      </w:r>
    </w:p>
    <w:p w14:paraId="2FD02F4C" w14:textId="77777777" w:rsidR="003F71BD" w:rsidRDefault="003F71BD" w:rsidP="002841E6">
      <w:pPr>
        <w:rPr>
          <w:rFonts w:asciiTheme="majorHAnsi" w:hAnsiTheme="majorHAnsi" w:cstheme="majorHAnsi"/>
          <w:spacing w:val="-5"/>
          <w:sz w:val="24"/>
          <w:szCs w:val="24"/>
          <w:u w:val="single"/>
          <w:lang w:val="nb-NO"/>
        </w:rPr>
      </w:pPr>
    </w:p>
    <w:p w14:paraId="23246DA3" w14:textId="29CAF686" w:rsidR="002841E6" w:rsidRPr="0016027D" w:rsidRDefault="003F71BD" w:rsidP="002841E6">
      <w:pPr>
        <w:rPr>
          <w:rFonts w:asciiTheme="majorHAnsi" w:hAnsiTheme="majorHAnsi" w:cstheme="majorHAnsi"/>
          <w:spacing w:val="-5"/>
          <w:sz w:val="24"/>
          <w:szCs w:val="24"/>
          <w:u w:val="single"/>
          <w:lang w:val="nb-NO"/>
        </w:rPr>
      </w:pPr>
      <w:r>
        <w:rPr>
          <w:rFonts w:asciiTheme="majorHAnsi" w:hAnsiTheme="majorHAnsi" w:cstheme="majorHAnsi"/>
          <w:spacing w:val="-5"/>
          <w:sz w:val="24"/>
          <w:szCs w:val="24"/>
          <w:u w:val="single"/>
          <w:lang w:val="nb-NO"/>
        </w:rPr>
        <w:t>Innspill til forslag om å endre Grunnloven § 89</w:t>
      </w:r>
      <w:r w:rsidR="004475AF">
        <w:rPr>
          <w:rFonts w:asciiTheme="majorHAnsi" w:hAnsiTheme="majorHAnsi" w:cstheme="majorHAnsi"/>
          <w:spacing w:val="-5"/>
          <w:sz w:val="24"/>
          <w:szCs w:val="24"/>
          <w:u w:val="single"/>
          <w:lang w:val="nb-NO"/>
        </w:rPr>
        <w:t xml:space="preserve"> fra ICJ Norge</w:t>
      </w:r>
    </w:p>
    <w:p w14:paraId="4B9B9445" w14:textId="2A9406F7" w:rsidR="002841E6" w:rsidRPr="00AE4112" w:rsidRDefault="002841E6" w:rsidP="002841E6">
      <w:pPr>
        <w:rPr>
          <w:rFonts w:asciiTheme="majorHAnsi" w:hAnsiTheme="majorHAnsi" w:cstheme="majorHAnsi"/>
          <w:spacing w:val="-5"/>
          <w:sz w:val="24"/>
          <w:szCs w:val="24"/>
          <w:lang w:val="nb-NO"/>
        </w:rPr>
      </w:pPr>
    </w:p>
    <w:p w14:paraId="0E1D0CAF" w14:textId="3A72C4BD" w:rsidR="00143218" w:rsidRPr="00143218" w:rsidRDefault="00143218" w:rsidP="00B57B54">
      <w:pPr>
        <w:spacing w:after="160" w:line="259" w:lineRule="auto"/>
        <w:rPr>
          <w:rFonts w:asciiTheme="majorHAnsi" w:eastAsia="Times New Roman" w:hAnsiTheme="majorHAnsi" w:cstheme="majorHAnsi"/>
          <w:b/>
          <w:bCs/>
          <w:lang w:val="nb-NO" w:eastAsia="en-US"/>
        </w:rPr>
      </w:pPr>
      <w:r w:rsidRPr="00143218">
        <w:rPr>
          <w:rFonts w:asciiTheme="majorHAnsi" w:eastAsia="Times New Roman" w:hAnsiTheme="majorHAnsi" w:cstheme="majorHAnsi"/>
          <w:b/>
          <w:bCs/>
          <w:lang w:val="nb-NO" w:eastAsia="en-US"/>
        </w:rPr>
        <w:t>Kort oppsummert mener ICJ Norge at Grunnloven § 89 allerede dekker legalitetskontroll med forvaltningen og ellers er adekvat formulert. Dersom Stortinget finner grunn til å forsikre seg om at legalitetskontrollen skal være del av prøvingsplikten i medhold av Grunnloven § 89, mener ICJ Norge at alternativ H er det klart beste alternativet.</w:t>
      </w:r>
    </w:p>
    <w:p w14:paraId="34908AD1" w14:textId="691CBA1E" w:rsidR="0037286F" w:rsidRDefault="00AE4112" w:rsidP="00B57B54">
      <w:pPr>
        <w:spacing w:after="160" w:line="259" w:lineRule="auto"/>
        <w:rPr>
          <w:rFonts w:asciiTheme="majorHAnsi" w:eastAsia="Times New Roman" w:hAnsiTheme="majorHAnsi" w:cstheme="majorHAnsi"/>
          <w:lang w:val="nb-NO" w:eastAsia="en-US"/>
        </w:rPr>
      </w:pPr>
      <w:r w:rsidRPr="0016027D">
        <w:rPr>
          <w:rFonts w:asciiTheme="majorHAnsi" w:eastAsia="Times New Roman" w:hAnsiTheme="majorHAnsi" w:cstheme="majorHAnsi"/>
          <w:lang w:val="nb-NO" w:eastAsia="en-US"/>
        </w:rPr>
        <w:t xml:space="preserve">ICJ Norge </w:t>
      </w:r>
      <w:r w:rsidR="0086371D" w:rsidRPr="0016027D">
        <w:rPr>
          <w:rFonts w:asciiTheme="majorHAnsi" w:eastAsia="Times New Roman" w:hAnsiTheme="majorHAnsi" w:cstheme="majorHAnsi"/>
          <w:lang w:val="nb-NO" w:eastAsia="en-US"/>
        </w:rPr>
        <w:t xml:space="preserve">viser til </w:t>
      </w:r>
      <w:r w:rsidR="004475AF">
        <w:rPr>
          <w:rFonts w:asciiTheme="majorHAnsi" w:eastAsia="Times New Roman" w:hAnsiTheme="majorHAnsi" w:cstheme="majorHAnsi"/>
          <w:lang w:val="nb-NO" w:eastAsia="en-US"/>
        </w:rPr>
        <w:t>Innst. 258 S (2019-2020) om grunnlovsforslag om endring av Grunnloven § 89, hvor alternativ H av de åtte foreslåtte alternativer er bifalt av kontroll- og konstitusjonskomiteen.</w:t>
      </w:r>
      <w:r w:rsidR="0037286F">
        <w:rPr>
          <w:rFonts w:asciiTheme="majorHAnsi" w:eastAsia="Times New Roman" w:hAnsiTheme="majorHAnsi" w:cstheme="majorHAnsi"/>
          <w:lang w:val="nb-NO" w:eastAsia="en-US"/>
        </w:rPr>
        <w:t xml:space="preserve"> </w:t>
      </w:r>
    </w:p>
    <w:p w14:paraId="68B9523E" w14:textId="78C6AC67" w:rsidR="0037286F" w:rsidRDefault="004475AF" w:rsidP="00B57B54">
      <w:pPr>
        <w:spacing w:after="160" w:line="259" w:lineRule="auto"/>
        <w:rPr>
          <w:rFonts w:asciiTheme="majorHAnsi" w:eastAsia="Times New Roman" w:hAnsiTheme="majorHAnsi" w:cstheme="majorHAnsi"/>
          <w:lang w:val="nb-NO" w:eastAsia="en-US"/>
        </w:rPr>
      </w:pPr>
      <w:r>
        <w:rPr>
          <w:rFonts w:asciiTheme="majorHAnsi" w:eastAsia="Times New Roman" w:hAnsiTheme="majorHAnsi" w:cstheme="majorHAnsi"/>
          <w:lang w:val="nb-NO" w:eastAsia="en-US"/>
        </w:rPr>
        <w:t xml:space="preserve">ICJ Norge mener at den nåværende formulering av Grunnloven § 89 er tilfredsstillende ut fra det som var formålet med bestemmelsen da den ble vedtatt. Bestemmelsen tydeliggjorde </w:t>
      </w:r>
      <w:r w:rsidR="00E651E7">
        <w:rPr>
          <w:rFonts w:asciiTheme="majorHAnsi" w:eastAsia="Times New Roman" w:hAnsiTheme="majorHAnsi" w:cstheme="majorHAnsi"/>
          <w:lang w:val="nb-NO" w:eastAsia="en-US"/>
        </w:rPr>
        <w:t xml:space="preserve">– i samsvar med konstitusjonell sedvanerett – </w:t>
      </w:r>
      <w:r>
        <w:rPr>
          <w:rFonts w:asciiTheme="majorHAnsi" w:eastAsia="Times New Roman" w:hAnsiTheme="majorHAnsi" w:cstheme="majorHAnsi"/>
          <w:lang w:val="nb-NO" w:eastAsia="en-US"/>
        </w:rPr>
        <w:t xml:space="preserve">at domstolene har rett og plikt til å prøve </w:t>
      </w:r>
      <w:r w:rsidR="00E651E7">
        <w:rPr>
          <w:rFonts w:asciiTheme="majorHAnsi" w:eastAsia="Times New Roman" w:hAnsiTheme="majorHAnsi" w:cstheme="majorHAnsi"/>
          <w:lang w:val="nb-NO" w:eastAsia="en-US"/>
        </w:rPr>
        <w:t>om lover og andre beslutninger truffet av statens myndigheter strider mot Grunnloven</w:t>
      </w:r>
      <w:r w:rsidR="002327B3">
        <w:rPr>
          <w:rFonts w:asciiTheme="majorHAnsi" w:eastAsia="Times New Roman" w:hAnsiTheme="majorHAnsi" w:cstheme="majorHAnsi"/>
          <w:lang w:val="nb-NO" w:eastAsia="en-US"/>
        </w:rPr>
        <w:t>, herunder bestemmelsene i Grunnloven kapittel E om menneskerettighetene</w:t>
      </w:r>
      <w:r w:rsidR="00E651E7">
        <w:rPr>
          <w:rFonts w:asciiTheme="majorHAnsi" w:eastAsia="Times New Roman" w:hAnsiTheme="majorHAnsi" w:cstheme="majorHAnsi"/>
          <w:lang w:val="nb-NO" w:eastAsia="en-US"/>
        </w:rPr>
        <w:t xml:space="preserve">. </w:t>
      </w:r>
      <w:r w:rsidR="00005E65">
        <w:rPr>
          <w:rFonts w:asciiTheme="majorHAnsi" w:eastAsia="Times New Roman" w:hAnsiTheme="majorHAnsi" w:cstheme="majorHAnsi"/>
          <w:lang w:val="nb-NO" w:eastAsia="en-US"/>
        </w:rPr>
        <w:t xml:space="preserve">I dette ligger at domstolene skal prøve både om </w:t>
      </w:r>
      <w:r w:rsidR="00005E65" w:rsidRPr="00005E65">
        <w:rPr>
          <w:rFonts w:asciiTheme="majorHAnsi" w:eastAsia="Times New Roman" w:hAnsiTheme="majorHAnsi" w:cstheme="majorHAnsi"/>
          <w:i/>
          <w:iCs/>
          <w:lang w:val="nb-NO" w:eastAsia="en-US"/>
        </w:rPr>
        <w:t>lover</w:t>
      </w:r>
      <w:r w:rsidR="00005E65">
        <w:rPr>
          <w:rFonts w:asciiTheme="majorHAnsi" w:eastAsia="Times New Roman" w:hAnsiTheme="majorHAnsi" w:cstheme="majorHAnsi"/>
          <w:lang w:val="nb-NO" w:eastAsia="en-US"/>
        </w:rPr>
        <w:t xml:space="preserve"> gitt av Stortinget, </w:t>
      </w:r>
      <w:r w:rsidR="002327B3">
        <w:rPr>
          <w:rFonts w:asciiTheme="majorHAnsi" w:eastAsia="Times New Roman" w:hAnsiTheme="majorHAnsi" w:cstheme="majorHAnsi"/>
          <w:lang w:val="nb-NO" w:eastAsia="en-US"/>
        </w:rPr>
        <w:t xml:space="preserve">og </w:t>
      </w:r>
      <w:r w:rsidR="00005E65" w:rsidRPr="00BE7691">
        <w:rPr>
          <w:rFonts w:asciiTheme="majorHAnsi" w:eastAsia="Times New Roman" w:hAnsiTheme="majorHAnsi" w:cstheme="majorHAnsi"/>
          <w:i/>
          <w:iCs/>
          <w:lang w:val="nb-NO" w:eastAsia="en-US"/>
        </w:rPr>
        <w:t>forskrifter</w:t>
      </w:r>
      <w:r w:rsidR="00005E65">
        <w:rPr>
          <w:rFonts w:asciiTheme="majorHAnsi" w:eastAsia="Times New Roman" w:hAnsiTheme="majorHAnsi" w:cstheme="majorHAnsi"/>
          <w:lang w:val="nb-NO" w:eastAsia="en-US"/>
        </w:rPr>
        <w:t xml:space="preserve"> gitt av regjeringen, departementet eller andre offentlige organer med delegert lovgivningsmyndighet, er i samsvar med Grunnloven, og </w:t>
      </w:r>
      <w:r w:rsidR="002327B3">
        <w:rPr>
          <w:rFonts w:asciiTheme="majorHAnsi" w:eastAsia="Times New Roman" w:hAnsiTheme="majorHAnsi" w:cstheme="majorHAnsi"/>
          <w:lang w:val="nb-NO" w:eastAsia="en-US"/>
        </w:rPr>
        <w:t xml:space="preserve">dessuten </w:t>
      </w:r>
      <w:r w:rsidR="00005E65">
        <w:rPr>
          <w:rFonts w:asciiTheme="majorHAnsi" w:eastAsia="Times New Roman" w:hAnsiTheme="majorHAnsi" w:cstheme="majorHAnsi"/>
          <w:lang w:val="nb-NO" w:eastAsia="en-US"/>
        </w:rPr>
        <w:t xml:space="preserve">om </w:t>
      </w:r>
      <w:r w:rsidR="00005E65" w:rsidRPr="002327B3">
        <w:rPr>
          <w:rFonts w:asciiTheme="majorHAnsi" w:eastAsia="Times New Roman" w:hAnsiTheme="majorHAnsi" w:cstheme="majorHAnsi"/>
          <w:i/>
          <w:iCs/>
          <w:lang w:val="nb-NO" w:eastAsia="en-US"/>
        </w:rPr>
        <w:t>forvaltningsvedtak og andre beslutninger</w:t>
      </w:r>
      <w:r w:rsidR="00005E65">
        <w:rPr>
          <w:rFonts w:asciiTheme="majorHAnsi" w:eastAsia="Times New Roman" w:hAnsiTheme="majorHAnsi" w:cstheme="majorHAnsi"/>
          <w:lang w:val="nb-NO" w:eastAsia="en-US"/>
        </w:rPr>
        <w:t xml:space="preserve"> </w:t>
      </w:r>
      <w:r w:rsidR="002327B3">
        <w:rPr>
          <w:rFonts w:asciiTheme="majorHAnsi" w:eastAsia="Times New Roman" w:hAnsiTheme="majorHAnsi" w:cstheme="majorHAnsi"/>
          <w:lang w:val="nb-NO" w:eastAsia="en-US"/>
        </w:rPr>
        <w:t>truffet av offentlige organer – eller eventuelt også av private som utøver offentlig myndighet – er i strid med Grunnloven og menneskerettighetene.</w:t>
      </w:r>
      <w:r w:rsidR="00BE7691">
        <w:rPr>
          <w:rFonts w:asciiTheme="majorHAnsi" w:eastAsia="Times New Roman" w:hAnsiTheme="majorHAnsi" w:cstheme="majorHAnsi"/>
          <w:lang w:val="nb-NO" w:eastAsia="en-US"/>
        </w:rPr>
        <w:t xml:space="preserve"> </w:t>
      </w:r>
    </w:p>
    <w:p w14:paraId="0E7DEE00" w14:textId="0BCBD69E" w:rsidR="0037286F" w:rsidRDefault="00E651E7" w:rsidP="00B57B54">
      <w:pPr>
        <w:spacing w:after="160" w:line="259" w:lineRule="auto"/>
        <w:rPr>
          <w:rFonts w:asciiTheme="majorHAnsi" w:eastAsia="Times New Roman" w:hAnsiTheme="majorHAnsi" w:cstheme="majorHAnsi"/>
          <w:lang w:val="nb-NO" w:eastAsia="en-US"/>
        </w:rPr>
      </w:pPr>
      <w:r>
        <w:rPr>
          <w:rFonts w:asciiTheme="majorHAnsi" w:eastAsia="Times New Roman" w:hAnsiTheme="majorHAnsi" w:cstheme="majorHAnsi"/>
          <w:lang w:val="nb-NO" w:eastAsia="en-US"/>
        </w:rPr>
        <w:t xml:space="preserve">Etter ICJ Norges syn er det viktig at </w:t>
      </w:r>
      <w:r w:rsidR="00005E65">
        <w:rPr>
          <w:rFonts w:asciiTheme="majorHAnsi" w:eastAsia="Times New Roman" w:hAnsiTheme="majorHAnsi" w:cstheme="majorHAnsi"/>
          <w:lang w:val="nb-NO" w:eastAsia="en-US"/>
        </w:rPr>
        <w:t>gjeldende § 89</w:t>
      </w:r>
      <w:r>
        <w:rPr>
          <w:rFonts w:asciiTheme="majorHAnsi" w:eastAsia="Times New Roman" w:hAnsiTheme="majorHAnsi" w:cstheme="majorHAnsi"/>
          <w:lang w:val="nb-NO" w:eastAsia="en-US"/>
        </w:rPr>
        <w:t xml:space="preserve"> fremhever at slik domstolskontroll ikke bare er en rett for domstolene til prøving, men også en </w:t>
      </w:r>
      <w:r w:rsidRPr="002327B3">
        <w:rPr>
          <w:rFonts w:asciiTheme="majorHAnsi" w:eastAsia="Times New Roman" w:hAnsiTheme="majorHAnsi" w:cstheme="majorHAnsi"/>
          <w:i/>
          <w:iCs/>
          <w:lang w:val="nb-NO" w:eastAsia="en-US"/>
        </w:rPr>
        <w:t>konstitusjonell plikt</w:t>
      </w:r>
      <w:r>
        <w:rPr>
          <w:rFonts w:asciiTheme="majorHAnsi" w:eastAsia="Times New Roman" w:hAnsiTheme="majorHAnsi" w:cstheme="majorHAnsi"/>
          <w:lang w:val="nb-NO" w:eastAsia="en-US"/>
        </w:rPr>
        <w:t>. De</w:t>
      </w:r>
      <w:r w:rsidR="002327B3">
        <w:rPr>
          <w:rFonts w:asciiTheme="majorHAnsi" w:eastAsia="Times New Roman" w:hAnsiTheme="majorHAnsi" w:cstheme="majorHAnsi"/>
          <w:lang w:val="nb-NO" w:eastAsia="en-US"/>
        </w:rPr>
        <w:t xml:space="preserve">n </w:t>
      </w:r>
      <w:r>
        <w:rPr>
          <w:rFonts w:asciiTheme="majorHAnsi" w:eastAsia="Times New Roman" w:hAnsiTheme="majorHAnsi" w:cstheme="majorHAnsi"/>
          <w:lang w:val="nb-NO" w:eastAsia="en-US"/>
        </w:rPr>
        <w:t xml:space="preserve">tydeliggjør </w:t>
      </w:r>
      <w:r w:rsidR="002327B3">
        <w:rPr>
          <w:rFonts w:asciiTheme="majorHAnsi" w:eastAsia="Times New Roman" w:hAnsiTheme="majorHAnsi" w:cstheme="majorHAnsi"/>
          <w:lang w:val="nb-NO" w:eastAsia="en-US"/>
        </w:rPr>
        <w:t xml:space="preserve">således </w:t>
      </w:r>
      <w:r>
        <w:rPr>
          <w:rFonts w:asciiTheme="majorHAnsi" w:eastAsia="Times New Roman" w:hAnsiTheme="majorHAnsi" w:cstheme="majorHAnsi"/>
          <w:lang w:val="nb-NO" w:eastAsia="en-US"/>
        </w:rPr>
        <w:t xml:space="preserve">domstolenes eget ansvar for at offentlig myndighetsutøvelse skjer innenfor rammen av Grunnloven. </w:t>
      </w:r>
    </w:p>
    <w:p w14:paraId="711F1827" w14:textId="77777777" w:rsidR="00143218" w:rsidRDefault="009E73E6" w:rsidP="00B57B54">
      <w:pPr>
        <w:spacing w:after="160" w:line="259" w:lineRule="auto"/>
        <w:rPr>
          <w:rFonts w:asciiTheme="majorHAnsi" w:eastAsia="Times New Roman" w:hAnsiTheme="majorHAnsi" w:cstheme="majorHAnsi"/>
          <w:lang w:val="nb-NO" w:eastAsia="en-US"/>
        </w:rPr>
      </w:pPr>
      <w:r>
        <w:rPr>
          <w:rFonts w:asciiTheme="majorHAnsi" w:eastAsia="Times New Roman" w:hAnsiTheme="majorHAnsi" w:cstheme="majorHAnsi"/>
          <w:lang w:val="nb-NO" w:eastAsia="en-US"/>
        </w:rPr>
        <w:t>F</w:t>
      </w:r>
      <w:r w:rsidR="00E651E7">
        <w:rPr>
          <w:rFonts w:asciiTheme="majorHAnsi" w:eastAsia="Times New Roman" w:hAnsiTheme="majorHAnsi" w:cstheme="majorHAnsi"/>
          <w:lang w:val="nb-NO" w:eastAsia="en-US"/>
        </w:rPr>
        <w:t xml:space="preserve">orslagene A-D </w:t>
      </w:r>
      <w:r>
        <w:rPr>
          <w:rFonts w:asciiTheme="majorHAnsi" w:eastAsia="Times New Roman" w:hAnsiTheme="majorHAnsi" w:cstheme="majorHAnsi"/>
          <w:lang w:val="nb-NO" w:eastAsia="en-US"/>
        </w:rPr>
        <w:t xml:space="preserve">representerer derfor </w:t>
      </w:r>
      <w:r w:rsidR="002327B3">
        <w:rPr>
          <w:rFonts w:asciiTheme="majorHAnsi" w:eastAsia="Times New Roman" w:hAnsiTheme="majorHAnsi" w:cstheme="majorHAnsi"/>
          <w:lang w:val="nb-NO" w:eastAsia="en-US"/>
        </w:rPr>
        <w:t xml:space="preserve">snarere </w:t>
      </w:r>
      <w:r w:rsidR="00E651E7">
        <w:rPr>
          <w:rFonts w:asciiTheme="majorHAnsi" w:eastAsia="Times New Roman" w:hAnsiTheme="majorHAnsi" w:cstheme="majorHAnsi"/>
          <w:lang w:val="nb-NO" w:eastAsia="en-US"/>
        </w:rPr>
        <w:t>en utydeliggjøring av domstolenes konstitusjonell</w:t>
      </w:r>
      <w:r w:rsidR="00005E65">
        <w:rPr>
          <w:rFonts w:asciiTheme="majorHAnsi" w:eastAsia="Times New Roman" w:hAnsiTheme="majorHAnsi" w:cstheme="majorHAnsi"/>
          <w:lang w:val="nb-NO" w:eastAsia="en-US"/>
        </w:rPr>
        <w:t>e</w:t>
      </w:r>
      <w:r w:rsidR="00E651E7">
        <w:rPr>
          <w:rFonts w:asciiTheme="majorHAnsi" w:eastAsia="Times New Roman" w:hAnsiTheme="majorHAnsi" w:cstheme="majorHAnsi"/>
          <w:lang w:val="nb-NO" w:eastAsia="en-US"/>
        </w:rPr>
        <w:t xml:space="preserve"> </w:t>
      </w:r>
      <w:r w:rsidR="00BE7691">
        <w:rPr>
          <w:rFonts w:asciiTheme="majorHAnsi" w:eastAsia="Times New Roman" w:hAnsiTheme="majorHAnsi" w:cstheme="majorHAnsi"/>
          <w:lang w:val="nb-NO" w:eastAsia="en-US"/>
        </w:rPr>
        <w:t>prøvings</w:t>
      </w:r>
      <w:r w:rsidR="00E651E7">
        <w:rPr>
          <w:rFonts w:asciiTheme="majorHAnsi" w:eastAsia="Times New Roman" w:hAnsiTheme="majorHAnsi" w:cstheme="majorHAnsi"/>
          <w:lang w:val="nb-NO" w:eastAsia="en-US"/>
        </w:rPr>
        <w:t xml:space="preserve">ansvar og </w:t>
      </w:r>
      <w:r>
        <w:rPr>
          <w:rFonts w:asciiTheme="majorHAnsi" w:eastAsia="Times New Roman" w:hAnsiTheme="majorHAnsi" w:cstheme="majorHAnsi"/>
          <w:lang w:val="nb-NO" w:eastAsia="en-US"/>
        </w:rPr>
        <w:t xml:space="preserve">det vil være </w:t>
      </w:r>
      <w:r w:rsidR="00E651E7">
        <w:rPr>
          <w:rFonts w:asciiTheme="majorHAnsi" w:eastAsia="Times New Roman" w:hAnsiTheme="majorHAnsi" w:cstheme="majorHAnsi"/>
          <w:lang w:val="nb-NO" w:eastAsia="en-US"/>
        </w:rPr>
        <w:t>et tilbakeskritt om et av disse alternative</w:t>
      </w:r>
      <w:r w:rsidR="002267AC">
        <w:rPr>
          <w:rFonts w:asciiTheme="majorHAnsi" w:eastAsia="Times New Roman" w:hAnsiTheme="majorHAnsi" w:cstheme="majorHAnsi"/>
          <w:lang w:val="nb-NO" w:eastAsia="en-US"/>
        </w:rPr>
        <w:t>ne</w:t>
      </w:r>
      <w:r w:rsidR="00E651E7">
        <w:rPr>
          <w:rFonts w:asciiTheme="majorHAnsi" w:eastAsia="Times New Roman" w:hAnsiTheme="majorHAnsi" w:cstheme="majorHAnsi"/>
          <w:lang w:val="nb-NO" w:eastAsia="en-US"/>
        </w:rPr>
        <w:t xml:space="preserve"> skulle bli vedtatt</w:t>
      </w:r>
      <w:r w:rsidR="00005E65">
        <w:rPr>
          <w:rFonts w:asciiTheme="majorHAnsi" w:eastAsia="Times New Roman" w:hAnsiTheme="majorHAnsi" w:cstheme="majorHAnsi"/>
          <w:lang w:val="nb-NO" w:eastAsia="en-US"/>
        </w:rPr>
        <w:t xml:space="preserve">. </w:t>
      </w:r>
      <w:r>
        <w:rPr>
          <w:rFonts w:asciiTheme="majorHAnsi" w:eastAsia="Times New Roman" w:hAnsiTheme="majorHAnsi" w:cstheme="majorHAnsi"/>
          <w:lang w:val="nb-NO" w:eastAsia="en-US"/>
        </w:rPr>
        <w:t>I lys av NAV-skandalen</w:t>
      </w:r>
      <w:r w:rsidR="00831E08">
        <w:rPr>
          <w:rFonts w:asciiTheme="majorHAnsi" w:eastAsia="Times New Roman" w:hAnsiTheme="majorHAnsi" w:cstheme="majorHAnsi"/>
          <w:lang w:val="nb-NO" w:eastAsia="en-US"/>
        </w:rPr>
        <w:t>, for eksempel,</w:t>
      </w:r>
      <w:r>
        <w:rPr>
          <w:rFonts w:asciiTheme="majorHAnsi" w:eastAsia="Times New Roman" w:hAnsiTheme="majorHAnsi" w:cstheme="majorHAnsi"/>
          <w:lang w:val="nb-NO" w:eastAsia="en-US"/>
        </w:rPr>
        <w:t xml:space="preserve"> er det </w:t>
      </w:r>
      <w:r w:rsidR="00831E08">
        <w:rPr>
          <w:rFonts w:asciiTheme="majorHAnsi" w:eastAsia="Times New Roman" w:hAnsiTheme="majorHAnsi" w:cstheme="majorHAnsi"/>
          <w:lang w:val="nb-NO" w:eastAsia="en-US"/>
        </w:rPr>
        <w:t xml:space="preserve">god </w:t>
      </w:r>
      <w:r>
        <w:rPr>
          <w:rFonts w:asciiTheme="majorHAnsi" w:eastAsia="Times New Roman" w:hAnsiTheme="majorHAnsi" w:cstheme="majorHAnsi"/>
          <w:lang w:val="nb-NO" w:eastAsia="en-US"/>
        </w:rPr>
        <w:t xml:space="preserve">grunn til å </w:t>
      </w:r>
      <w:r w:rsidR="00831E08">
        <w:rPr>
          <w:rFonts w:asciiTheme="majorHAnsi" w:eastAsia="Times New Roman" w:hAnsiTheme="majorHAnsi" w:cstheme="majorHAnsi"/>
          <w:lang w:val="nb-NO" w:eastAsia="en-US"/>
        </w:rPr>
        <w:t>understreke</w:t>
      </w:r>
      <w:r>
        <w:rPr>
          <w:rFonts w:asciiTheme="majorHAnsi" w:eastAsia="Times New Roman" w:hAnsiTheme="majorHAnsi" w:cstheme="majorHAnsi"/>
          <w:lang w:val="nb-NO" w:eastAsia="en-US"/>
        </w:rPr>
        <w:t xml:space="preserve"> domstolenes prøving</w:t>
      </w:r>
      <w:r w:rsidR="00831E08">
        <w:rPr>
          <w:rFonts w:asciiTheme="majorHAnsi" w:eastAsia="Times New Roman" w:hAnsiTheme="majorHAnsi" w:cstheme="majorHAnsi"/>
          <w:lang w:val="nb-NO" w:eastAsia="en-US"/>
        </w:rPr>
        <w:t>sansvar</w:t>
      </w:r>
      <w:r>
        <w:rPr>
          <w:rFonts w:asciiTheme="majorHAnsi" w:eastAsia="Times New Roman" w:hAnsiTheme="majorHAnsi" w:cstheme="majorHAnsi"/>
          <w:lang w:val="nb-NO" w:eastAsia="en-US"/>
        </w:rPr>
        <w:t xml:space="preserve">. </w:t>
      </w:r>
      <w:r w:rsidR="00005E65">
        <w:rPr>
          <w:rFonts w:asciiTheme="majorHAnsi" w:eastAsia="Times New Roman" w:hAnsiTheme="majorHAnsi" w:cstheme="majorHAnsi"/>
          <w:lang w:val="nb-NO" w:eastAsia="en-US"/>
        </w:rPr>
        <w:t>Disse alternativene er også uheldige fordi de kan reise tvil om forholdet til Norges internasjonale rettsforpliktelser</w:t>
      </w:r>
      <w:r w:rsidR="00DD06F0">
        <w:rPr>
          <w:rFonts w:asciiTheme="majorHAnsi" w:eastAsia="Times New Roman" w:hAnsiTheme="majorHAnsi" w:cstheme="majorHAnsi"/>
          <w:lang w:val="nb-NO" w:eastAsia="en-US"/>
        </w:rPr>
        <w:t>,</w:t>
      </w:r>
      <w:r w:rsidR="00005E65">
        <w:rPr>
          <w:rFonts w:asciiTheme="majorHAnsi" w:eastAsia="Times New Roman" w:hAnsiTheme="majorHAnsi" w:cstheme="majorHAnsi"/>
          <w:lang w:val="nb-NO" w:eastAsia="en-US"/>
        </w:rPr>
        <w:t xml:space="preserve"> ved at de </w:t>
      </w:r>
      <w:r w:rsidR="002327B3">
        <w:rPr>
          <w:rFonts w:asciiTheme="majorHAnsi" w:eastAsia="Times New Roman" w:hAnsiTheme="majorHAnsi" w:cstheme="majorHAnsi"/>
          <w:lang w:val="nb-NO" w:eastAsia="en-US"/>
        </w:rPr>
        <w:t xml:space="preserve">etter sin ordlyd kan forstås slik at de stiller </w:t>
      </w:r>
      <w:r w:rsidR="00005E65">
        <w:rPr>
          <w:rFonts w:asciiTheme="majorHAnsi" w:eastAsia="Times New Roman" w:hAnsiTheme="majorHAnsi" w:cstheme="majorHAnsi"/>
          <w:lang w:val="nb-NO" w:eastAsia="en-US"/>
        </w:rPr>
        <w:t xml:space="preserve">opp en </w:t>
      </w:r>
      <w:r w:rsidR="002327B3">
        <w:rPr>
          <w:rFonts w:asciiTheme="majorHAnsi" w:eastAsia="Times New Roman" w:hAnsiTheme="majorHAnsi" w:cstheme="majorHAnsi"/>
          <w:lang w:val="nb-NO" w:eastAsia="en-US"/>
        </w:rPr>
        <w:t xml:space="preserve">– formentlig </w:t>
      </w:r>
      <w:r w:rsidR="00005E65">
        <w:rPr>
          <w:rFonts w:asciiTheme="majorHAnsi" w:eastAsia="Times New Roman" w:hAnsiTheme="majorHAnsi" w:cstheme="majorHAnsi"/>
          <w:lang w:val="nb-NO" w:eastAsia="en-US"/>
        </w:rPr>
        <w:t xml:space="preserve">utilsiktet </w:t>
      </w:r>
      <w:r w:rsidR="002327B3">
        <w:rPr>
          <w:rFonts w:asciiTheme="majorHAnsi" w:eastAsia="Times New Roman" w:hAnsiTheme="majorHAnsi" w:cstheme="majorHAnsi"/>
          <w:lang w:val="nb-NO" w:eastAsia="en-US"/>
        </w:rPr>
        <w:t xml:space="preserve">– </w:t>
      </w:r>
      <w:r w:rsidR="00005E65">
        <w:rPr>
          <w:rFonts w:asciiTheme="majorHAnsi" w:eastAsia="Times New Roman" w:hAnsiTheme="majorHAnsi" w:cstheme="majorHAnsi"/>
          <w:lang w:val="nb-NO" w:eastAsia="en-US"/>
        </w:rPr>
        <w:t xml:space="preserve">skranke mot å anvende </w:t>
      </w:r>
      <w:r w:rsidR="00F57E14">
        <w:rPr>
          <w:rFonts w:asciiTheme="majorHAnsi" w:eastAsia="Times New Roman" w:hAnsiTheme="majorHAnsi" w:cstheme="majorHAnsi"/>
          <w:lang w:val="nb-NO" w:eastAsia="en-US"/>
        </w:rPr>
        <w:t xml:space="preserve">det tradisjonelle </w:t>
      </w:r>
      <w:r w:rsidR="00005E65">
        <w:rPr>
          <w:rFonts w:asciiTheme="majorHAnsi" w:eastAsia="Times New Roman" w:hAnsiTheme="majorHAnsi" w:cstheme="majorHAnsi"/>
          <w:lang w:val="nb-NO" w:eastAsia="en-US"/>
        </w:rPr>
        <w:t>presumsjonsprinsippet ved tolkning av lover</w:t>
      </w:r>
      <w:r w:rsidR="00BE7691">
        <w:rPr>
          <w:rFonts w:asciiTheme="majorHAnsi" w:eastAsia="Times New Roman" w:hAnsiTheme="majorHAnsi" w:cstheme="majorHAnsi"/>
          <w:lang w:val="nb-NO" w:eastAsia="en-US"/>
        </w:rPr>
        <w:t xml:space="preserve">. Etter gjeldende </w:t>
      </w:r>
    </w:p>
    <w:p w14:paraId="67488ABF" w14:textId="77777777" w:rsidR="00143218" w:rsidRDefault="00143218" w:rsidP="00B57B54">
      <w:pPr>
        <w:spacing w:after="160" w:line="259" w:lineRule="auto"/>
        <w:rPr>
          <w:rFonts w:asciiTheme="majorHAnsi" w:eastAsia="Times New Roman" w:hAnsiTheme="majorHAnsi" w:cstheme="majorHAnsi"/>
          <w:lang w:val="nb-NO" w:eastAsia="en-US"/>
        </w:rPr>
      </w:pPr>
    </w:p>
    <w:p w14:paraId="3B41CB67" w14:textId="64FF9FF2" w:rsidR="004475AF" w:rsidRDefault="00BE7691" w:rsidP="00B57B54">
      <w:pPr>
        <w:spacing w:after="160" w:line="259" w:lineRule="auto"/>
        <w:rPr>
          <w:rFonts w:asciiTheme="majorHAnsi" w:eastAsia="Times New Roman" w:hAnsiTheme="majorHAnsi" w:cstheme="majorHAnsi"/>
          <w:lang w:val="nb-NO" w:eastAsia="en-US"/>
        </w:rPr>
      </w:pPr>
      <w:r>
        <w:rPr>
          <w:rFonts w:asciiTheme="majorHAnsi" w:eastAsia="Times New Roman" w:hAnsiTheme="majorHAnsi" w:cstheme="majorHAnsi"/>
          <w:lang w:val="nb-NO" w:eastAsia="en-US"/>
        </w:rPr>
        <w:t>rett skal</w:t>
      </w:r>
      <w:r w:rsidR="00005E65">
        <w:rPr>
          <w:rFonts w:asciiTheme="majorHAnsi" w:eastAsia="Times New Roman" w:hAnsiTheme="majorHAnsi" w:cstheme="majorHAnsi"/>
          <w:lang w:val="nb-NO" w:eastAsia="en-US"/>
        </w:rPr>
        <w:t xml:space="preserve"> </w:t>
      </w:r>
      <w:r w:rsidR="002327B3">
        <w:rPr>
          <w:rFonts w:asciiTheme="majorHAnsi" w:eastAsia="Times New Roman" w:hAnsiTheme="majorHAnsi" w:cstheme="majorHAnsi"/>
          <w:lang w:val="nb-NO" w:eastAsia="en-US"/>
        </w:rPr>
        <w:t>love</w:t>
      </w:r>
      <w:r>
        <w:rPr>
          <w:rFonts w:asciiTheme="majorHAnsi" w:eastAsia="Times New Roman" w:hAnsiTheme="majorHAnsi" w:cstheme="majorHAnsi"/>
          <w:lang w:val="nb-NO" w:eastAsia="en-US"/>
        </w:rPr>
        <w:t>r</w:t>
      </w:r>
      <w:r w:rsidR="00005E65">
        <w:rPr>
          <w:rFonts w:asciiTheme="majorHAnsi" w:eastAsia="Times New Roman" w:hAnsiTheme="majorHAnsi" w:cstheme="majorHAnsi"/>
          <w:lang w:val="nb-NO" w:eastAsia="en-US"/>
        </w:rPr>
        <w:t xml:space="preserve"> </w:t>
      </w:r>
      <w:r>
        <w:rPr>
          <w:rFonts w:asciiTheme="majorHAnsi" w:eastAsia="Times New Roman" w:hAnsiTheme="majorHAnsi" w:cstheme="majorHAnsi"/>
          <w:lang w:val="nb-NO" w:eastAsia="en-US"/>
        </w:rPr>
        <w:t>tolkes slik at rettsanvendelsen blir</w:t>
      </w:r>
      <w:r w:rsidR="002327B3">
        <w:rPr>
          <w:rFonts w:asciiTheme="majorHAnsi" w:eastAsia="Times New Roman" w:hAnsiTheme="majorHAnsi" w:cstheme="majorHAnsi"/>
          <w:lang w:val="nb-NO" w:eastAsia="en-US"/>
        </w:rPr>
        <w:t xml:space="preserve"> </w:t>
      </w:r>
      <w:r w:rsidR="00005E65">
        <w:rPr>
          <w:rFonts w:asciiTheme="majorHAnsi" w:eastAsia="Times New Roman" w:hAnsiTheme="majorHAnsi" w:cstheme="majorHAnsi"/>
          <w:lang w:val="nb-NO" w:eastAsia="en-US"/>
        </w:rPr>
        <w:t>i samsvar med Norges internasjonale rettsforpliktelser. Alternativene E og F lider av mye de samme svakheter</w:t>
      </w:r>
      <w:r w:rsidR="00831E08">
        <w:rPr>
          <w:rFonts w:asciiTheme="majorHAnsi" w:eastAsia="Times New Roman" w:hAnsiTheme="majorHAnsi" w:cstheme="majorHAnsi"/>
          <w:lang w:val="nb-NO" w:eastAsia="en-US"/>
        </w:rPr>
        <w:t>. D</w:t>
      </w:r>
      <w:r w:rsidR="002267AC">
        <w:rPr>
          <w:rFonts w:asciiTheme="majorHAnsi" w:eastAsia="Times New Roman" w:hAnsiTheme="majorHAnsi" w:cstheme="majorHAnsi"/>
          <w:lang w:val="nb-NO" w:eastAsia="en-US"/>
        </w:rPr>
        <w:t xml:space="preserve">erfor bør heller </w:t>
      </w:r>
      <w:r>
        <w:rPr>
          <w:rFonts w:asciiTheme="majorHAnsi" w:eastAsia="Times New Roman" w:hAnsiTheme="majorHAnsi" w:cstheme="majorHAnsi"/>
          <w:lang w:val="nb-NO" w:eastAsia="en-US"/>
        </w:rPr>
        <w:t>ingen av d</w:t>
      </w:r>
      <w:r w:rsidR="00831E08">
        <w:rPr>
          <w:rFonts w:asciiTheme="majorHAnsi" w:eastAsia="Times New Roman" w:hAnsiTheme="majorHAnsi" w:cstheme="majorHAnsi"/>
          <w:lang w:val="nb-NO" w:eastAsia="en-US"/>
        </w:rPr>
        <w:t>isse</w:t>
      </w:r>
      <w:r>
        <w:rPr>
          <w:rFonts w:asciiTheme="majorHAnsi" w:eastAsia="Times New Roman" w:hAnsiTheme="majorHAnsi" w:cstheme="majorHAnsi"/>
          <w:lang w:val="nb-NO" w:eastAsia="en-US"/>
        </w:rPr>
        <w:t xml:space="preserve"> </w:t>
      </w:r>
      <w:r w:rsidR="00005E65">
        <w:rPr>
          <w:rFonts w:asciiTheme="majorHAnsi" w:eastAsia="Times New Roman" w:hAnsiTheme="majorHAnsi" w:cstheme="majorHAnsi"/>
          <w:lang w:val="nb-NO" w:eastAsia="en-US"/>
        </w:rPr>
        <w:t>vedtas.</w:t>
      </w:r>
    </w:p>
    <w:p w14:paraId="4330A405" w14:textId="6DB94E86" w:rsidR="002327B3" w:rsidRDefault="00831E08" w:rsidP="00B57B54">
      <w:pPr>
        <w:spacing w:after="160" w:line="259" w:lineRule="auto"/>
        <w:rPr>
          <w:rFonts w:asciiTheme="majorHAnsi" w:eastAsia="Times New Roman" w:hAnsiTheme="majorHAnsi" w:cstheme="majorHAnsi"/>
          <w:lang w:val="nb-NO" w:eastAsia="en-US"/>
        </w:rPr>
      </w:pPr>
      <w:r>
        <w:rPr>
          <w:rFonts w:asciiTheme="majorHAnsi" w:eastAsia="Times New Roman" w:hAnsiTheme="majorHAnsi" w:cstheme="majorHAnsi"/>
          <w:lang w:val="nb-NO" w:eastAsia="en-US"/>
        </w:rPr>
        <w:t>A</w:t>
      </w:r>
      <w:r w:rsidR="002327B3">
        <w:rPr>
          <w:rFonts w:asciiTheme="majorHAnsi" w:eastAsia="Times New Roman" w:hAnsiTheme="majorHAnsi" w:cstheme="majorHAnsi"/>
          <w:lang w:val="nb-NO" w:eastAsia="en-US"/>
        </w:rPr>
        <w:t xml:space="preserve">lternativene G og H er etter ICJ Norges mening bedre. Her er tydeliggjøringen av domstolenes konstitusjonelle ansvar som Grunnlovens vokter beholdt gjennom formuleringen «rett og plikt». </w:t>
      </w:r>
      <w:r w:rsidR="009A380F">
        <w:rPr>
          <w:rFonts w:asciiTheme="majorHAnsi" w:eastAsia="Times New Roman" w:hAnsiTheme="majorHAnsi" w:cstheme="majorHAnsi"/>
          <w:lang w:val="nb-NO" w:eastAsia="en-US"/>
        </w:rPr>
        <w:t xml:space="preserve">Uttrykket «ville stride mot </w:t>
      </w:r>
      <w:r w:rsidR="00BE7691">
        <w:rPr>
          <w:rFonts w:asciiTheme="majorHAnsi" w:eastAsia="Times New Roman" w:hAnsiTheme="majorHAnsi" w:cstheme="majorHAnsi"/>
          <w:lang w:val="nb-NO" w:eastAsia="en-US"/>
        </w:rPr>
        <w:t xml:space="preserve">Grunnloven» </w:t>
      </w:r>
      <w:r w:rsidR="009A380F">
        <w:rPr>
          <w:rFonts w:asciiTheme="majorHAnsi" w:eastAsia="Times New Roman" w:hAnsiTheme="majorHAnsi" w:cstheme="majorHAnsi"/>
          <w:lang w:val="nb-NO" w:eastAsia="en-US"/>
        </w:rPr>
        <w:t xml:space="preserve">i alternativ G fremstår derimot som mindre presist enn någjeldende formulering i § 89, </w:t>
      </w:r>
      <w:r w:rsidR="00BE7691">
        <w:rPr>
          <w:rFonts w:asciiTheme="majorHAnsi" w:eastAsia="Times New Roman" w:hAnsiTheme="majorHAnsi" w:cstheme="majorHAnsi"/>
          <w:lang w:val="nb-NO" w:eastAsia="en-US"/>
        </w:rPr>
        <w:t>altså</w:t>
      </w:r>
      <w:r w:rsidR="009A380F">
        <w:rPr>
          <w:rFonts w:asciiTheme="majorHAnsi" w:eastAsia="Times New Roman" w:hAnsiTheme="majorHAnsi" w:cstheme="majorHAnsi"/>
          <w:lang w:val="nb-NO" w:eastAsia="en-US"/>
        </w:rPr>
        <w:t xml:space="preserve"> «strider mot</w:t>
      </w:r>
      <w:r w:rsidR="00BE7691">
        <w:rPr>
          <w:rFonts w:asciiTheme="majorHAnsi" w:eastAsia="Times New Roman" w:hAnsiTheme="majorHAnsi" w:cstheme="majorHAnsi"/>
          <w:lang w:val="nb-NO" w:eastAsia="en-US"/>
        </w:rPr>
        <w:t xml:space="preserve"> Grunnloven</w:t>
      </w:r>
      <w:r w:rsidR="009A380F">
        <w:rPr>
          <w:rFonts w:asciiTheme="majorHAnsi" w:eastAsia="Times New Roman" w:hAnsiTheme="majorHAnsi" w:cstheme="majorHAnsi"/>
          <w:lang w:val="nb-NO" w:eastAsia="en-US"/>
        </w:rPr>
        <w:t xml:space="preserve">». </w:t>
      </w:r>
    </w:p>
    <w:p w14:paraId="0BF094E3" w14:textId="0A4564D7" w:rsidR="009A380F" w:rsidRDefault="009A380F" w:rsidP="00B57B54">
      <w:pPr>
        <w:spacing w:after="160" w:line="259" w:lineRule="auto"/>
        <w:rPr>
          <w:rFonts w:asciiTheme="majorHAnsi" w:eastAsia="Times New Roman" w:hAnsiTheme="majorHAnsi" w:cstheme="majorHAnsi"/>
          <w:lang w:val="nb-NO" w:eastAsia="en-US"/>
        </w:rPr>
      </w:pPr>
      <w:r>
        <w:rPr>
          <w:rFonts w:asciiTheme="majorHAnsi" w:eastAsia="Times New Roman" w:hAnsiTheme="majorHAnsi" w:cstheme="majorHAnsi"/>
          <w:lang w:val="nb-NO" w:eastAsia="en-US"/>
        </w:rPr>
        <w:t xml:space="preserve">Det beste av de foreslåtte alternativer er derfor </w:t>
      </w:r>
      <w:r w:rsidRPr="00143218">
        <w:rPr>
          <w:rFonts w:asciiTheme="majorHAnsi" w:eastAsia="Times New Roman" w:hAnsiTheme="majorHAnsi" w:cstheme="majorHAnsi"/>
          <w:u w:val="single"/>
          <w:lang w:val="nb-NO" w:eastAsia="en-US"/>
        </w:rPr>
        <w:t>alternativ H</w:t>
      </w:r>
      <w:r>
        <w:rPr>
          <w:rFonts w:asciiTheme="majorHAnsi" w:eastAsia="Times New Roman" w:hAnsiTheme="majorHAnsi" w:cstheme="majorHAnsi"/>
          <w:lang w:val="nb-NO" w:eastAsia="en-US"/>
        </w:rPr>
        <w:t>, slik ICJ Norge ser det</w:t>
      </w:r>
      <w:r w:rsidR="00F57E14">
        <w:rPr>
          <w:rFonts w:asciiTheme="majorHAnsi" w:eastAsia="Times New Roman" w:hAnsiTheme="majorHAnsi" w:cstheme="majorHAnsi"/>
          <w:lang w:val="nb-NO" w:eastAsia="en-US"/>
        </w:rPr>
        <w:t>. Det er o</w:t>
      </w:r>
      <w:r>
        <w:rPr>
          <w:rFonts w:asciiTheme="majorHAnsi" w:eastAsia="Times New Roman" w:hAnsiTheme="majorHAnsi" w:cstheme="majorHAnsi"/>
          <w:lang w:val="nb-NO" w:eastAsia="en-US"/>
        </w:rPr>
        <w:t xml:space="preserve">gså det alternativet som er </w:t>
      </w:r>
      <w:r w:rsidR="002267AC">
        <w:rPr>
          <w:rFonts w:asciiTheme="majorHAnsi" w:eastAsia="Times New Roman" w:hAnsiTheme="majorHAnsi" w:cstheme="majorHAnsi"/>
          <w:lang w:val="nb-NO" w:eastAsia="en-US"/>
        </w:rPr>
        <w:t>bifalt</w:t>
      </w:r>
      <w:r>
        <w:rPr>
          <w:rFonts w:asciiTheme="majorHAnsi" w:eastAsia="Times New Roman" w:hAnsiTheme="majorHAnsi" w:cstheme="majorHAnsi"/>
          <w:lang w:val="nb-NO" w:eastAsia="en-US"/>
        </w:rPr>
        <w:t xml:space="preserve"> av kontroll- og konstitusjonskomiteen. </w:t>
      </w:r>
    </w:p>
    <w:p w14:paraId="4F3527CB" w14:textId="29C19371" w:rsidR="00F66901" w:rsidRDefault="009A380F" w:rsidP="00B57B54">
      <w:pPr>
        <w:spacing w:after="160" w:line="259" w:lineRule="auto"/>
        <w:rPr>
          <w:rFonts w:asciiTheme="majorHAnsi" w:eastAsia="Times New Roman" w:hAnsiTheme="majorHAnsi" w:cstheme="majorHAnsi"/>
          <w:lang w:val="nb-NO" w:eastAsia="en-US"/>
        </w:rPr>
      </w:pPr>
      <w:r>
        <w:rPr>
          <w:rFonts w:asciiTheme="majorHAnsi" w:eastAsia="Times New Roman" w:hAnsiTheme="majorHAnsi" w:cstheme="majorHAnsi"/>
          <w:lang w:val="nb-NO" w:eastAsia="en-US"/>
        </w:rPr>
        <w:t>ICJ Norge finner likevel grunn til noen videre bemerkninger til dette forslaget.</w:t>
      </w:r>
      <w:r w:rsidR="0037286F">
        <w:rPr>
          <w:rFonts w:asciiTheme="majorHAnsi" w:eastAsia="Times New Roman" w:hAnsiTheme="majorHAnsi" w:cstheme="majorHAnsi"/>
          <w:lang w:val="nb-NO" w:eastAsia="en-US"/>
        </w:rPr>
        <w:t xml:space="preserve"> </w:t>
      </w:r>
      <w:r w:rsidR="00461C0B">
        <w:rPr>
          <w:rFonts w:asciiTheme="majorHAnsi" w:eastAsia="Times New Roman" w:hAnsiTheme="majorHAnsi" w:cstheme="majorHAnsi"/>
          <w:lang w:val="nb-NO" w:eastAsia="en-US"/>
        </w:rPr>
        <w:t>Et viktig spørsmål er om forslaget innebærer en grunnlovsmessig realitetsendring eller ikke</w:t>
      </w:r>
      <w:r w:rsidR="00F57E14">
        <w:rPr>
          <w:rFonts w:asciiTheme="majorHAnsi" w:eastAsia="Times New Roman" w:hAnsiTheme="majorHAnsi" w:cstheme="majorHAnsi"/>
          <w:lang w:val="nb-NO" w:eastAsia="en-US"/>
        </w:rPr>
        <w:t>,</w:t>
      </w:r>
      <w:r w:rsidR="00461C0B">
        <w:rPr>
          <w:rFonts w:asciiTheme="majorHAnsi" w:eastAsia="Times New Roman" w:hAnsiTheme="majorHAnsi" w:cstheme="majorHAnsi"/>
          <w:lang w:val="nb-NO" w:eastAsia="en-US"/>
        </w:rPr>
        <w:t xml:space="preserve"> i relasjon til domstolenes rett og plikt til å prøve forvaltningsvedtak opp mot ordinær lovgivning. </w:t>
      </w:r>
    </w:p>
    <w:p w14:paraId="3B3E2BA6" w14:textId="77777777" w:rsidR="001A19B6" w:rsidRDefault="00461C0B" w:rsidP="00B57B54">
      <w:pPr>
        <w:spacing w:after="160" w:line="259" w:lineRule="auto"/>
        <w:rPr>
          <w:rFonts w:asciiTheme="majorHAnsi" w:eastAsia="Times New Roman" w:hAnsiTheme="majorHAnsi" w:cstheme="majorHAnsi"/>
          <w:lang w:val="nb-NO" w:eastAsia="en-US"/>
        </w:rPr>
      </w:pPr>
      <w:r>
        <w:rPr>
          <w:rFonts w:asciiTheme="majorHAnsi" w:eastAsia="Times New Roman" w:hAnsiTheme="majorHAnsi" w:cstheme="majorHAnsi"/>
          <w:lang w:val="nb-NO" w:eastAsia="en-US"/>
        </w:rPr>
        <w:t xml:space="preserve">ICJ Norge har merket seg at NIM mener at forslaget vil innebære en realitetsendring, slik også mindretallet i kontroll- og konstitusjonskomiteen har gitt uttrykk for i Innst. 258 S (2019-2020) s. 4, jf. NIM, «Spørsmål til Innst. 258 S (2019-2020) om endring av Grunnloven § 89» av 12.05.2020, s. 2-5. </w:t>
      </w:r>
    </w:p>
    <w:p w14:paraId="6C6C6A00" w14:textId="4184193B" w:rsidR="00F66901" w:rsidRDefault="00C207EF" w:rsidP="00B57B54">
      <w:pPr>
        <w:spacing w:after="160" w:line="259" w:lineRule="auto"/>
        <w:rPr>
          <w:rFonts w:asciiTheme="majorHAnsi" w:eastAsia="Times New Roman" w:hAnsiTheme="majorHAnsi" w:cstheme="majorHAnsi"/>
          <w:lang w:val="nb-NO" w:eastAsia="en-US"/>
        </w:rPr>
      </w:pPr>
      <w:r>
        <w:rPr>
          <w:rFonts w:asciiTheme="majorHAnsi" w:eastAsia="Times New Roman" w:hAnsiTheme="majorHAnsi" w:cstheme="majorHAnsi"/>
          <w:lang w:val="nb-NO" w:eastAsia="en-US"/>
        </w:rPr>
        <w:t xml:space="preserve">Spørsmålet beror </w:t>
      </w:r>
      <w:r w:rsidR="001A19B6">
        <w:rPr>
          <w:rFonts w:asciiTheme="majorHAnsi" w:eastAsia="Times New Roman" w:hAnsiTheme="majorHAnsi" w:cstheme="majorHAnsi"/>
          <w:lang w:val="nb-NO" w:eastAsia="en-US"/>
        </w:rPr>
        <w:t xml:space="preserve">etter ICJ Norges syn </w:t>
      </w:r>
      <w:r>
        <w:rPr>
          <w:rFonts w:asciiTheme="majorHAnsi" w:eastAsia="Times New Roman" w:hAnsiTheme="majorHAnsi" w:cstheme="majorHAnsi"/>
          <w:lang w:val="nb-NO" w:eastAsia="en-US"/>
        </w:rPr>
        <w:t>på en tolkning av innholdet i gjeldende § 89, ut fra lovteksten, forarbeidene og sammenhengen mellom § 89 og bestemmelser i Grunnloven kapittel E.</w:t>
      </w:r>
    </w:p>
    <w:p w14:paraId="1EAF8B8C" w14:textId="3B882D93" w:rsidR="00461C0B" w:rsidRDefault="00461C0B" w:rsidP="00B57B54">
      <w:pPr>
        <w:spacing w:after="160" w:line="259" w:lineRule="auto"/>
        <w:rPr>
          <w:rFonts w:asciiTheme="majorHAnsi" w:eastAsia="Times New Roman" w:hAnsiTheme="majorHAnsi" w:cstheme="majorHAnsi"/>
          <w:lang w:val="nb-NO" w:eastAsia="en-US"/>
        </w:rPr>
      </w:pPr>
      <w:r>
        <w:rPr>
          <w:rFonts w:asciiTheme="majorHAnsi" w:eastAsia="Times New Roman" w:hAnsiTheme="majorHAnsi" w:cstheme="majorHAnsi"/>
          <w:lang w:val="nb-NO" w:eastAsia="en-US"/>
        </w:rPr>
        <w:t xml:space="preserve">ICJ Norge finner at forarbeidene </w:t>
      </w:r>
      <w:r w:rsidR="009610AE">
        <w:rPr>
          <w:rFonts w:asciiTheme="majorHAnsi" w:eastAsia="Times New Roman" w:hAnsiTheme="majorHAnsi" w:cstheme="majorHAnsi"/>
          <w:lang w:val="nb-NO" w:eastAsia="en-US"/>
        </w:rPr>
        <w:t>til gjeldende § 89 er noe tvetydige</w:t>
      </w:r>
      <w:r w:rsidR="00F57E14">
        <w:rPr>
          <w:rFonts w:asciiTheme="majorHAnsi" w:eastAsia="Times New Roman" w:hAnsiTheme="majorHAnsi" w:cstheme="majorHAnsi"/>
          <w:lang w:val="nb-NO" w:eastAsia="en-US"/>
        </w:rPr>
        <w:t xml:space="preserve"> på dette punkt</w:t>
      </w:r>
      <w:r w:rsidR="009610AE">
        <w:rPr>
          <w:rFonts w:asciiTheme="majorHAnsi" w:eastAsia="Times New Roman" w:hAnsiTheme="majorHAnsi" w:cstheme="majorHAnsi"/>
          <w:lang w:val="nb-NO" w:eastAsia="en-US"/>
        </w:rPr>
        <w:t xml:space="preserve">. På den ene side er det i Innst. 263 S (2014-2015) henvist til Lønning-utvalgets uttalelser, herunder en </w:t>
      </w:r>
      <w:r w:rsidR="00F57E14">
        <w:rPr>
          <w:rFonts w:asciiTheme="majorHAnsi" w:eastAsia="Times New Roman" w:hAnsiTheme="majorHAnsi" w:cstheme="majorHAnsi"/>
          <w:lang w:val="nb-NO" w:eastAsia="en-US"/>
        </w:rPr>
        <w:t xml:space="preserve">tilsynelatende klar </w:t>
      </w:r>
      <w:r w:rsidR="009610AE">
        <w:rPr>
          <w:rFonts w:asciiTheme="majorHAnsi" w:eastAsia="Times New Roman" w:hAnsiTheme="majorHAnsi" w:cstheme="majorHAnsi"/>
          <w:lang w:val="nb-NO" w:eastAsia="en-US"/>
        </w:rPr>
        <w:t>uttalelse om at «Prøving av forvaltningsvedtak opp mot ordinær lovgivning faller utenfor de spørsmål som er omhandlet i utvalgets mandat». Men det er samtidig en viss glidning i uttalelsene sett i sammenheng</w:t>
      </w:r>
      <w:r w:rsidR="002F5C71">
        <w:rPr>
          <w:rFonts w:asciiTheme="majorHAnsi" w:eastAsia="Times New Roman" w:hAnsiTheme="majorHAnsi" w:cstheme="majorHAnsi"/>
          <w:lang w:val="nb-NO" w:eastAsia="en-US"/>
        </w:rPr>
        <w:t>, og det kan spørres om utvalget hadde full oversikt over det nevnte spørsmålet, særlig siden man samtidig foreslo å grunnlovfeste det generelle legalitetsprinsippet, jf. Grunnloven § 113</w:t>
      </w:r>
      <w:r w:rsidR="009610AE">
        <w:rPr>
          <w:rFonts w:asciiTheme="majorHAnsi" w:eastAsia="Times New Roman" w:hAnsiTheme="majorHAnsi" w:cstheme="majorHAnsi"/>
          <w:lang w:val="nb-NO" w:eastAsia="en-US"/>
        </w:rPr>
        <w:t>. Således er det samme sted (s. 6) referert til følgende uttalelse:</w:t>
      </w:r>
    </w:p>
    <w:p w14:paraId="50828D3A" w14:textId="26CAED03" w:rsidR="009610AE" w:rsidRDefault="009610AE" w:rsidP="00F66901">
      <w:pPr>
        <w:spacing w:after="160" w:line="259" w:lineRule="auto"/>
        <w:ind w:left="720"/>
        <w:rPr>
          <w:rFonts w:asciiTheme="majorHAnsi" w:eastAsia="Times New Roman" w:hAnsiTheme="majorHAnsi" w:cstheme="majorHAnsi"/>
          <w:sz w:val="20"/>
          <w:szCs w:val="20"/>
          <w:lang w:val="nb-NO" w:eastAsia="en-US"/>
        </w:rPr>
      </w:pPr>
      <w:r w:rsidRPr="009610AE">
        <w:rPr>
          <w:rFonts w:asciiTheme="majorHAnsi" w:eastAsia="Times New Roman" w:hAnsiTheme="majorHAnsi" w:cstheme="majorHAnsi"/>
          <w:sz w:val="20"/>
          <w:szCs w:val="20"/>
          <w:lang w:val="nb-NO" w:eastAsia="en-US"/>
        </w:rPr>
        <w:t>«Domstolenes prøvingsrett har eksistert som konstitusjonell sedvanerett i minst 150 år. […] Etter utvalgets oppfatning bør domstolenes kompetanse til å prøve lover og forvaltningsvedtak mot Grunnloven komme eksplisitt til uttrykk. Dagens konstitusjonelle sedvanerett bør slik utvalget ser det kodifiseres i sin helhet, og da bør formuleringen fange opp både lover, forskrifter og forvaltningsavgjørelser i enkeltsaker.»</w:t>
      </w:r>
    </w:p>
    <w:p w14:paraId="433E18EA" w14:textId="72493931" w:rsidR="007C1BE3" w:rsidRDefault="00F66901" w:rsidP="00F66901">
      <w:pPr>
        <w:spacing w:after="160" w:line="259" w:lineRule="auto"/>
        <w:rPr>
          <w:rFonts w:asciiTheme="majorHAnsi" w:eastAsia="Times New Roman" w:hAnsiTheme="majorHAnsi" w:cstheme="majorHAnsi"/>
          <w:lang w:val="nb-NO" w:eastAsia="en-US"/>
        </w:rPr>
      </w:pPr>
      <w:r>
        <w:rPr>
          <w:rFonts w:asciiTheme="majorHAnsi" w:eastAsia="Times New Roman" w:hAnsiTheme="majorHAnsi" w:cstheme="majorHAnsi"/>
          <w:lang w:val="nb-NO" w:eastAsia="en-US"/>
        </w:rPr>
        <w:t xml:space="preserve">Det fremgår av nevnte Innst. 263 S (2014-2015) s. 6 at Stortinget var innforstått med at innskriving av domstolenes prøvelsesrett ville «synliggjøre at domstolene kan prøve om myndighetenes beslutninger strider mot menneskerettighetene i Grunnloven». </w:t>
      </w:r>
    </w:p>
    <w:p w14:paraId="0C745B47" w14:textId="698621F7" w:rsidR="007C1BE3" w:rsidRDefault="00F66901" w:rsidP="00F66901">
      <w:pPr>
        <w:spacing w:after="160" w:line="259" w:lineRule="auto"/>
        <w:rPr>
          <w:rFonts w:asciiTheme="majorHAnsi" w:eastAsia="Times New Roman" w:hAnsiTheme="majorHAnsi" w:cstheme="majorHAnsi"/>
          <w:lang w:val="nb-NO" w:eastAsia="en-US"/>
        </w:rPr>
      </w:pPr>
      <w:r>
        <w:rPr>
          <w:rFonts w:asciiTheme="majorHAnsi" w:eastAsia="Times New Roman" w:hAnsiTheme="majorHAnsi" w:cstheme="majorHAnsi"/>
          <w:lang w:val="nb-NO" w:eastAsia="en-US"/>
        </w:rPr>
        <w:t xml:space="preserve">Grunnloven kapittel E </w:t>
      </w:r>
      <w:r>
        <w:rPr>
          <w:rFonts w:asciiTheme="majorHAnsi" w:eastAsia="Times New Roman" w:hAnsiTheme="majorHAnsi" w:cstheme="majorHAnsi"/>
          <w:lang w:val="nb-NO" w:eastAsia="en-US"/>
        </w:rPr>
        <w:t xml:space="preserve">om menneskerettigheter </w:t>
      </w:r>
      <w:r>
        <w:rPr>
          <w:rFonts w:asciiTheme="majorHAnsi" w:eastAsia="Times New Roman" w:hAnsiTheme="majorHAnsi" w:cstheme="majorHAnsi"/>
          <w:lang w:val="nb-NO" w:eastAsia="en-US"/>
        </w:rPr>
        <w:t xml:space="preserve">inneholder </w:t>
      </w:r>
      <w:r w:rsidR="00F57E14">
        <w:rPr>
          <w:rFonts w:asciiTheme="majorHAnsi" w:eastAsia="Times New Roman" w:hAnsiTheme="majorHAnsi" w:cstheme="majorHAnsi"/>
          <w:lang w:val="nb-NO" w:eastAsia="en-US"/>
        </w:rPr>
        <w:t xml:space="preserve">nettopp </w:t>
      </w:r>
      <w:r>
        <w:rPr>
          <w:rFonts w:asciiTheme="majorHAnsi" w:eastAsia="Times New Roman" w:hAnsiTheme="majorHAnsi" w:cstheme="majorHAnsi"/>
          <w:lang w:val="nb-NO" w:eastAsia="en-US"/>
        </w:rPr>
        <w:t xml:space="preserve">generelle og spesifikke bestemmelser som </w:t>
      </w:r>
      <w:r>
        <w:rPr>
          <w:rFonts w:asciiTheme="majorHAnsi" w:eastAsia="Times New Roman" w:hAnsiTheme="majorHAnsi" w:cstheme="majorHAnsi"/>
          <w:lang w:val="nb-NO" w:eastAsia="en-US"/>
        </w:rPr>
        <w:t xml:space="preserve">både </w:t>
      </w:r>
      <w:r>
        <w:rPr>
          <w:rFonts w:asciiTheme="majorHAnsi" w:eastAsia="Times New Roman" w:hAnsiTheme="majorHAnsi" w:cstheme="majorHAnsi"/>
          <w:lang w:val="nb-NO" w:eastAsia="en-US"/>
        </w:rPr>
        <w:t xml:space="preserve">implisitt forutsetter (som Grunnloven § 102) </w:t>
      </w:r>
      <w:r>
        <w:rPr>
          <w:rFonts w:asciiTheme="majorHAnsi" w:eastAsia="Times New Roman" w:hAnsiTheme="majorHAnsi" w:cstheme="majorHAnsi"/>
          <w:lang w:val="nb-NO" w:eastAsia="en-US"/>
        </w:rPr>
        <w:t>og</w:t>
      </w:r>
      <w:r>
        <w:rPr>
          <w:rFonts w:asciiTheme="majorHAnsi" w:eastAsia="Times New Roman" w:hAnsiTheme="majorHAnsi" w:cstheme="majorHAnsi"/>
          <w:lang w:val="nb-NO" w:eastAsia="en-US"/>
        </w:rPr>
        <w:t xml:space="preserve"> eksplisitt slår fast at </w:t>
      </w:r>
      <w:r>
        <w:rPr>
          <w:rFonts w:asciiTheme="majorHAnsi" w:eastAsia="Times New Roman" w:hAnsiTheme="majorHAnsi" w:cstheme="majorHAnsi"/>
          <w:lang w:val="nb-NO" w:eastAsia="en-US"/>
        </w:rPr>
        <w:t xml:space="preserve">forvaltningens </w:t>
      </w:r>
      <w:r>
        <w:rPr>
          <w:rFonts w:asciiTheme="majorHAnsi" w:eastAsia="Times New Roman" w:hAnsiTheme="majorHAnsi" w:cstheme="majorHAnsi"/>
          <w:lang w:val="nb-NO" w:eastAsia="en-US"/>
        </w:rPr>
        <w:t xml:space="preserve">myndighetsutøvelse eller inngrep må være i samsvar med loven. Generelt følger dette av legalitetsprinsippet i Grunnloven § 96 (strafferettens område) og </w:t>
      </w:r>
      <w:r w:rsidR="007C1BE3">
        <w:rPr>
          <w:rFonts w:asciiTheme="majorHAnsi" w:eastAsia="Times New Roman" w:hAnsiTheme="majorHAnsi" w:cstheme="majorHAnsi"/>
          <w:lang w:val="nb-NO" w:eastAsia="en-US"/>
        </w:rPr>
        <w:t xml:space="preserve">av </w:t>
      </w:r>
      <w:r>
        <w:rPr>
          <w:rFonts w:asciiTheme="majorHAnsi" w:eastAsia="Times New Roman" w:hAnsiTheme="majorHAnsi" w:cstheme="majorHAnsi"/>
          <w:lang w:val="nb-NO" w:eastAsia="en-US"/>
        </w:rPr>
        <w:t xml:space="preserve">legalitetsprinsippet </w:t>
      </w:r>
      <w:r w:rsidR="00F57E14">
        <w:rPr>
          <w:rFonts w:asciiTheme="majorHAnsi" w:eastAsia="Times New Roman" w:hAnsiTheme="majorHAnsi" w:cstheme="majorHAnsi"/>
          <w:lang w:val="nb-NO" w:eastAsia="en-US"/>
        </w:rPr>
        <w:t xml:space="preserve">nedfelt </w:t>
      </w:r>
      <w:r>
        <w:rPr>
          <w:rFonts w:asciiTheme="majorHAnsi" w:eastAsia="Times New Roman" w:hAnsiTheme="majorHAnsi" w:cstheme="majorHAnsi"/>
          <w:lang w:val="nb-NO" w:eastAsia="en-US"/>
        </w:rPr>
        <w:t xml:space="preserve">i Grunnloven § 113 (norsk forvaltningsrett generelt). Av § 113 fremgår det </w:t>
      </w:r>
      <w:r w:rsidR="002F5C71">
        <w:rPr>
          <w:rFonts w:asciiTheme="majorHAnsi" w:eastAsia="Times New Roman" w:hAnsiTheme="majorHAnsi" w:cstheme="majorHAnsi"/>
          <w:lang w:val="nb-NO" w:eastAsia="en-US"/>
        </w:rPr>
        <w:t>kort og godt</w:t>
      </w:r>
      <w:r>
        <w:rPr>
          <w:rFonts w:asciiTheme="majorHAnsi" w:eastAsia="Times New Roman" w:hAnsiTheme="majorHAnsi" w:cstheme="majorHAnsi"/>
          <w:lang w:val="nb-NO" w:eastAsia="en-US"/>
        </w:rPr>
        <w:t xml:space="preserve"> at myndighetenes «inngrep overfor den enkelte må ha grunnlag i lov». </w:t>
      </w:r>
    </w:p>
    <w:p w14:paraId="209698C1" w14:textId="77777777" w:rsidR="00143218" w:rsidRDefault="00143218" w:rsidP="00F66901">
      <w:pPr>
        <w:spacing w:after="160" w:line="259" w:lineRule="auto"/>
        <w:rPr>
          <w:rFonts w:asciiTheme="majorHAnsi" w:eastAsia="Times New Roman" w:hAnsiTheme="majorHAnsi" w:cstheme="majorHAnsi"/>
          <w:lang w:val="nb-NO" w:eastAsia="en-US"/>
        </w:rPr>
      </w:pPr>
    </w:p>
    <w:p w14:paraId="7DEA6691" w14:textId="4C6EE467" w:rsidR="0014696B" w:rsidRPr="00143218" w:rsidRDefault="00F66901" w:rsidP="00F66901">
      <w:pPr>
        <w:spacing w:after="160" w:line="259" w:lineRule="auto"/>
        <w:rPr>
          <w:rFonts w:asciiTheme="majorHAnsi" w:eastAsia="Times New Roman" w:hAnsiTheme="majorHAnsi" w:cstheme="majorHAnsi"/>
          <w:lang w:val="nb-NO" w:eastAsia="en-US"/>
        </w:rPr>
      </w:pPr>
      <w:r w:rsidRPr="00143218">
        <w:rPr>
          <w:rFonts w:asciiTheme="majorHAnsi" w:eastAsia="Times New Roman" w:hAnsiTheme="majorHAnsi" w:cstheme="majorHAnsi"/>
          <w:lang w:val="nb-NO" w:eastAsia="en-US"/>
        </w:rPr>
        <w:t xml:space="preserve">Det kan derfor </w:t>
      </w:r>
      <w:r w:rsidR="002F5C71" w:rsidRPr="00143218">
        <w:rPr>
          <w:rFonts w:asciiTheme="majorHAnsi" w:eastAsia="Times New Roman" w:hAnsiTheme="majorHAnsi" w:cstheme="majorHAnsi"/>
          <w:lang w:val="nb-NO" w:eastAsia="en-US"/>
        </w:rPr>
        <w:t xml:space="preserve">med god grunn </w:t>
      </w:r>
      <w:r w:rsidRPr="00143218">
        <w:rPr>
          <w:rFonts w:asciiTheme="majorHAnsi" w:eastAsia="Times New Roman" w:hAnsiTheme="majorHAnsi" w:cstheme="majorHAnsi"/>
          <w:lang w:val="nb-NO" w:eastAsia="en-US"/>
        </w:rPr>
        <w:t xml:space="preserve">anføres at </w:t>
      </w:r>
      <w:r w:rsidR="007C1BE3" w:rsidRPr="00143218">
        <w:rPr>
          <w:rFonts w:asciiTheme="majorHAnsi" w:eastAsia="Times New Roman" w:hAnsiTheme="majorHAnsi" w:cstheme="majorHAnsi"/>
          <w:lang w:val="nb-NO" w:eastAsia="en-US"/>
        </w:rPr>
        <w:t>d</w:t>
      </w:r>
      <w:r w:rsidRPr="00143218">
        <w:rPr>
          <w:rFonts w:asciiTheme="majorHAnsi" w:eastAsia="Times New Roman" w:hAnsiTheme="majorHAnsi" w:cstheme="majorHAnsi"/>
          <w:lang w:val="nb-NO" w:eastAsia="en-US"/>
        </w:rPr>
        <w:t>omstolenes rett og plikt til prøving av forvaltningsvedtak og beslutninger</w:t>
      </w:r>
      <w:r w:rsidRPr="00143218">
        <w:rPr>
          <w:rFonts w:asciiTheme="majorHAnsi" w:eastAsia="Times New Roman" w:hAnsiTheme="majorHAnsi" w:cstheme="majorHAnsi"/>
          <w:lang w:val="nb-NO" w:eastAsia="en-US"/>
        </w:rPr>
        <w:t xml:space="preserve"> </w:t>
      </w:r>
      <w:r w:rsidRPr="00143218">
        <w:rPr>
          <w:rFonts w:asciiTheme="majorHAnsi" w:eastAsia="Times New Roman" w:hAnsiTheme="majorHAnsi" w:cstheme="majorHAnsi"/>
          <w:lang w:val="nb-NO" w:eastAsia="en-US"/>
        </w:rPr>
        <w:t>mot Grunnloven og landets lover</w:t>
      </w:r>
      <w:r w:rsidR="00F57E14" w:rsidRPr="00143218">
        <w:rPr>
          <w:rFonts w:asciiTheme="majorHAnsi" w:eastAsia="Times New Roman" w:hAnsiTheme="majorHAnsi" w:cstheme="majorHAnsi"/>
          <w:lang w:val="nb-NO" w:eastAsia="en-US"/>
        </w:rPr>
        <w:t>,</w:t>
      </w:r>
      <w:r w:rsidRPr="00143218">
        <w:rPr>
          <w:rFonts w:asciiTheme="majorHAnsi" w:eastAsia="Times New Roman" w:hAnsiTheme="majorHAnsi" w:cstheme="majorHAnsi"/>
          <w:lang w:val="nb-NO" w:eastAsia="en-US"/>
        </w:rPr>
        <w:t xml:space="preserve"> allerede</w:t>
      </w:r>
      <w:r w:rsidRPr="00143218">
        <w:rPr>
          <w:rFonts w:asciiTheme="majorHAnsi" w:eastAsia="Times New Roman" w:hAnsiTheme="majorHAnsi" w:cstheme="majorHAnsi"/>
          <w:lang w:val="nb-NO" w:eastAsia="en-US"/>
        </w:rPr>
        <w:t xml:space="preserve"> ligger innbakt i gjeldende § 89</w:t>
      </w:r>
      <w:r w:rsidR="00F57E14" w:rsidRPr="00143218">
        <w:rPr>
          <w:rFonts w:asciiTheme="majorHAnsi" w:eastAsia="Times New Roman" w:hAnsiTheme="majorHAnsi" w:cstheme="majorHAnsi"/>
          <w:lang w:val="nb-NO" w:eastAsia="en-US"/>
        </w:rPr>
        <w:t xml:space="preserve"> </w:t>
      </w:r>
      <w:r w:rsidRPr="00143218">
        <w:rPr>
          <w:rFonts w:asciiTheme="majorHAnsi" w:eastAsia="Times New Roman" w:hAnsiTheme="majorHAnsi" w:cstheme="majorHAnsi"/>
          <w:lang w:val="nb-NO" w:eastAsia="en-US"/>
        </w:rPr>
        <w:t>gjennom</w:t>
      </w:r>
      <w:r w:rsidRPr="00143218">
        <w:rPr>
          <w:rFonts w:asciiTheme="majorHAnsi" w:eastAsia="Times New Roman" w:hAnsiTheme="majorHAnsi" w:cstheme="majorHAnsi"/>
          <w:lang w:val="nb-NO" w:eastAsia="en-US"/>
        </w:rPr>
        <w:t xml:space="preserve"> </w:t>
      </w:r>
      <w:r w:rsidRPr="00143218">
        <w:rPr>
          <w:rFonts w:asciiTheme="majorHAnsi" w:eastAsia="Times New Roman" w:hAnsiTheme="majorHAnsi" w:cstheme="majorHAnsi"/>
          <w:lang w:val="nb-NO" w:eastAsia="en-US"/>
        </w:rPr>
        <w:t xml:space="preserve">formuleringen «rett og plikt til å prøve om </w:t>
      </w:r>
      <w:r w:rsidR="00F57E14" w:rsidRPr="00143218">
        <w:rPr>
          <w:rFonts w:asciiTheme="majorHAnsi" w:eastAsia="Times New Roman" w:hAnsiTheme="majorHAnsi" w:cstheme="majorHAnsi"/>
          <w:lang w:val="nb-NO" w:eastAsia="en-US"/>
        </w:rPr>
        <w:t>[</w:t>
      </w:r>
      <w:r w:rsidRPr="00143218">
        <w:rPr>
          <w:rFonts w:asciiTheme="majorHAnsi" w:eastAsia="Times New Roman" w:hAnsiTheme="majorHAnsi" w:cstheme="majorHAnsi"/>
          <w:lang w:val="nb-NO" w:eastAsia="en-US"/>
        </w:rPr>
        <w:t>…</w:t>
      </w:r>
      <w:r w:rsidR="00F57E14" w:rsidRPr="00143218">
        <w:rPr>
          <w:rFonts w:asciiTheme="majorHAnsi" w:eastAsia="Times New Roman" w:hAnsiTheme="majorHAnsi" w:cstheme="majorHAnsi"/>
          <w:lang w:val="nb-NO" w:eastAsia="en-US"/>
        </w:rPr>
        <w:t>]</w:t>
      </w:r>
      <w:r w:rsidRPr="00143218">
        <w:rPr>
          <w:rFonts w:asciiTheme="majorHAnsi" w:eastAsia="Times New Roman" w:hAnsiTheme="majorHAnsi" w:cstheme="majorHAnsi"/>
          <w:lang w:val="nb-NO" w:eastAsia="en-US"/>
        </w:rPr>
        <w:t xml:space="preserve"> andre beslutninger </w:t>
      </w:r>
      <w:r w:rsidR="000900CE" w:rsidRPr="00143218">
        <w:rPr>
          <w:rFonts w:asciiTheme="majorHAnsi" w:eastAsia="Times New Roman" w:hAnsiTheme="majorHAnsi" w:cstheme="majorHAnsi"/>
          <w:lang w:val="nb-NO" w:eastAsia="en-US"/>
        </w:rPr>
        <w:t>[</w:t>
      </w:r>
      <w:r w:rsidRPr="00143218">
        <w:rPr>
          <w:rFonts w:asciiTheme="majorHAnsi" w:eastAsia="Times New Roman" w:hAnsiTheme="majorHAnsi" w:cstheme="majorHAnsi"/>
          <w:lang w:val="nb-NO" w:eastAsia="en-US"/>
        </w:rPr>
        <w:t>…</w:t>
      </w:r>
      <w:r w:rsidR="000900CE" w:rsidRPr="00143218">
        <w:rPr>
          <w:rFonts w:asciiTheme="majorHAnsi" w:eastAsia="Times New Roman" w:hAnsiTheme="majorHAnsi" w:cstheme="majorHAnsi"/>
          <w:lang w:val="nb-NO" w:eastAsia="en-US"/>
        </w:rPr>
        <w:t>]</w:t>
      </w:r>
      <w:r w:rsidRPr="00143218">
        <w:rPr>
          <w:rFonts w:asciiTheme="majorHAnsi" w:eastAsia="Times New Roman" w:hAnsiTheme="majorHAnsi" w:cstheme="majorHAnsi"/>
          <w:lang w:val="nb-NO" w:eastAsia="en-US"/>
        </w:rPr>
        <w:t xml:space="preserve"> strider mot Grunnloven».</w:t>
      </w:r>
      <w:r w:rsidRPr="00143218">
        <w:rPr>
          <w:rFonts w:asciiTheme="majorHAnsi" w:eastAsia="Times New Roman" w:hAnsiTheme="majorHAnsi" w:cstheme="majorHAnsi"/>
          <w:lang w:val="nb-NO" w:eastAsia="en-US"/>
        </w:rPr>
        <w:t xml:space="preserve"> </w:t>
      </w:r>
    </w:p>
    <w:p w14:paraId="68C126D8" w14:textId="50E1B505" w:rsidR="002F5C71" w:rsidRDefault="002371F7" w:rsidP="00F66901">
      <w:pPr>
        <w:spacing w:after="160" w:line="259" w:lineRule="auto"/>
        <w:rPr>
          <w:rFonts w:asciiTheme="majorHAnsi" w:eastAsia="Times New Roman" w:hAnsiTheme="majorHAnsi" w:cstheme="majorHAnsi"/>
          <w:lang w:val="nb-NO" w:eastAsia="en-US"/>
        </w:rPr>
      </w:pPr>
      <w:r>
        <w:rPr>
          <w:rFonts w:asciiTheme="majorHAnsi" w:eastAsia="Times New Roman" w:hAnsiTheme="majorHAnsi" w:cstheme="majorHAnsi"/>
          <w:lang w:val="nb-NO" w:eastAsia="en-US"/>
        </w:rPr>
        <w:t>B</w:t>
      </w:r>
      <w:r w:rsidR="002F5C71">
        <w:rPr>
          <w:rFonts w:asciiTheme="majorHAnsi" w:eastAsia="Times New Roman" w:hAnsiTheme="majorHAnsi" w:cstheme="majorHAnsi"/>
          <w:lang w:val="nb-NO" w:eastAsia="en-US"/>
        </w:rPr>
        <w:t>estemmelse</w:t>
      </w:r>
      <w:r w:rsidR="000900CE">
        <w:rPr>
          <w:rFonts w:asciiTheme="majorHAnsi" w:eastAsia="Times New Roman" w:hAnsiTheme="majorHAnsi" w:cstheme="majorHAnsi"/>
          <w:lang w:val="nb-NO" w:eastAsia="en-US"/>
        </w:rPr>
        <w:t>ne</w:t>
      </w:r>
      <w:r>
        <w:rPr>
          <w:rFonts w:asciiTheme="majorHAnsi" w:eastAsia="Times New Roman" w:hAnsiTheme="majorHAnsi" w:cstheme="majorHAnsi"/>
          <w:lang w:val="nb-NO" w:eastAsia="en-US"/>
        </w:rPr>
        <w:t xml:space="preserve"> i </w:t>
      </w:r>
      <w:r w:rsidR="000900CE">
        <w:rPr>
          <w:rFonts w:asciiTheme="majorHAnsi" w:eastAsia="Times New Roman" w:hAnsiTheme="majorHAnsi" w:cstheme="majorHAnsi"/>
          <w:lang w:val="nb-NO" w:eastAsia="en-US"/>
        </w:rPr>
        <w:t xml:space="preserve">Grunnloven </w:t>
      </w:r>
      <w:r>
        <w:rPr>
          <w:rFonts w:asciiTheme="majorHAnsi" w:eastAsia="Times New Roman" w:hAnsiTheme="majorHAnsi" w:cstheme="majorHAnsi"/>
          <w:lang w:val="nb-NO" w:eastAsia="en-US"/>
        </w:rPr>
        <w:t>kapittel E</w:t>
      </w:r>
      <w:r w:rsidR="00F57E14">
        <w:rPr>
          <w:rFonts w:asciiTheme="majorHAnsi" w:eastAsia="Times New Roman" w:hAnsiTheme="majorHAnsi" w:cstheme="majorHAnsi"/>
          <w:lang w:val="nb-NO" w:eastAsia="en-US"/>
        </w:rPr>
        <w:t>,</w:t>
      </w:r>
      <w:r>
        <w:rPr>
          <w:rFonts w:asciiTheme="majorHAnsi" w:eastAsia="Times New Roman" w:hAnsiTheme="majorHAnsi" w:cstheme="majorHAnsi"/>
          <w:lang w:val="nb-NO" w:eastAsia="en-US"/>
        </w:rPr>
        <w:t xml:space="preserve"> </w:t>
      </w:r>
      <w:r w:rsidR="00F57E14">
        <w:rPr>
          <w:rFonts w:asciiTheme="majorHAnsi" w:eastAsia="Times New Roman" w:hAnsiTheme="majorHAnsi" w:cstheme="majorHAnsi"/>
          <w:lang w:val="nb-NO" w:eastAsia="en-US"/>
        </w:rPr>
        <w:t xml:space="preserve">også de </w:t>
      </w:r>
      <w:r>
        <w:rPr>
          <w:rFonts w:asciiTheme="majorHAnsi" w:eastAsia="Times New Roman" w:hAnsiTheme="majorHAnsi" w:cstheme="majorHAnsi"/>
          <w:lang w:val="nb-NO" w:eastAsia="en-US"/>
        </w:rPr>
        <w:t>som knesetter et legalitetsprinsipp</w:t>
      </w:r>
      <w:r w:rsidR="00F57E14">
        <w:rPr>
          <w:rFonts w:asciiTheme="majorHAnsi" w:eastAsia="Times New Roman" w:hAnsiTheme="majorHAnsi" w:cstheme="majorHAnsi"/>
          <w:lang w:val="nb-NO" w:eastAsia="en-US"/>
        </w:rPr>
        <w:t xml:space="preserve"> i generell form slik</w:t>
      </w:r>
      <w:r w:rsidR="002F5C71">
        <w:rPr>
          <w:rFonts w:asciiTheme="majorHAnsi" w:eastAsia="Times New Roman" w:hAnsiTheme="majorHAnsi" w:cstheme="majorHAnsi"/>
          <w:lang w:val="nb-NO" w:eastAsia="en-US"/>
        </w:rPr>
        <w:t xml:space="preserve"> som Grunnloven §§ 96 og 113, </w:t>
      </w:r>
      <w:r>
        <w:rPr>
          <w:rFonts w:asciiTheme="majorHAnsi" w:eastAsia="Times New Roman" w:hAnsiTheme="majorHAnsi" w:cstheme="majorHAnsi"/>
          <w:lang w:val="nb-NO" w:eastAsia="en-US"/>
        </w:rPr>
        <w:t xml:space="preserve">er etter sin ordlyd og plassering utvilsomt </w:t>
      </w:r>
      <w:r w:rsidR="002F5C71">
        <w:rPr>
          <w:rFonts w:asciiTheme="majorHAnsi" w:eastAsia="Times New Roman" w:hAnsiTheme="majorHAnsi" w:cstheme="majorHAnsi"/>
          <w:lang w:val="nb-NO" w:eastAsia="en-US"/>
        </w:rPr>
        <w:t>en del av «Grunnloven»</w:t>
      </w:r>
      <w:r>
        <w:rPr>
          <w:rFonts w:asciiTheme="majorHAnsi" w:eastAsia="Times New Roman" w:hAnsiTheme="majorHAnsi" w:cstheme="majorHAnsi"/>
          <w:lang w:val="nb-NO" w:eastAsia="en-US"/>
        </w:rPr>
        <w:t>.</w:t>
      </w:r>
      <w:r w:rsidR="000900CE">
        <w:rPr>
          <w:rFonts w:asciiTheme="majorHAnsi" w:eastAsia="Times New Roman" w:hAnsiTheme="majorHAnsi" w:cstheme="majorHAnsi"/>
          <w:lang w:val="nb-NO" w:eastAsia="en-US"/>
        </w:rPr>
        <w:t xml:space="preserve"> </w:t>
      </w:r>
    </w:p>
    <w:p w14:paraId="3591F972" w14:textId="0146BF70" w:rsidR="00F66901" w:rsidRDefault="00B560DB" w:rsidP="00F66901">
      <w:pPr>
        <w:spacing w:after="160" w:line="259" w:lineRule="auto"/>
        <w:rPr>
          <w:rFonts w:asciiTheme="majorHAnsi" w:eastAsia="Times New Roman" w:hAnsiTheme="majorHAnsi" w:cstheme="majorHAnsi"/>
          <w:lang w:val="nb-NO" w:eastAsia="en-US"/>
        </w:rPr>
      </w:pPr>
      <w:r>
        <w:rPr>
          <w:rFonts w:asciiTheme="majorHAnsi" w:eastAsia="Times New Roman" w:hAnsiTheme="majorHAnsi" w:cstheme="majorHAnsi"/>
          <w:lang w:val="nb-NO" w:eastAsia="en-US"/>
        </w:rPr>
        <w:t xml:space="preserve">Uansett er det klart at slik legalitetsprøving </w:t>
      </w:r>
      <w:r w:rsidR="002F5C71">
        <w:rPr>
          <w:rFonts w:asciiTheme="majorHAnsi" w:eastAsia="Times New Roman" w:hAnsiTheme="majorHAnsi" w:cstheme="majorHAnsi"/>
          <w:lang w:val="nb-NO" w:eastAsia="en-US"/>
        </w:rPr>
        <w:t>har grunnlag i konstitusjonell sedvanerett</w:t>
      </w:r>
      <w:r w:rsidR="000900CE">
        <w:rPr>
          <w:rFonts w:asciiTheme="majorHAnsi" w:eastAsia="Times New Roman" w:hAnsiTheme="majorHAnsi" w:cstheme="majorHAnsi"/>
          <w:lang w:val="nb-NO" w:eastAsia="en-US"/>
        </w:rPr>
        <w:t xml:space="preserve">. </w:t>
      </w:r>
      <w:r w:rsidR="00F57E14">
        <w:rPr>
          <w:rFonts w:asciiTheme="majorHAnsi" w:eastAsia="Times New Roman" w:hAnsiTheme="majorHAnsi" w:cstheme="majorHAnsi"/>
          <w:lang w:val="nb-NO" w:eastAsia="en-US"/>
        </w:rPr>
        <w:t>Brudd på legalitetsprinsippet egner seg også for domstolskontroll, slik det er langvarig rettspraksis for.</w:t>
      </w:r>
      <w:r w:rsidR="00F57E14">
        <w:rPr>
          <w:rFonts w:asciiTheme="majorHAnsi" w:eastAsia="Times New Roman" w:hAnsiTheme="majorHAnsi" w:cstheme="majorHAnsi"/>
          <w:lang w:val="nb-NO" w:eastAsia="en-US"/>
        </w:rPr>
        <w:t xml:space="preserve"> </w:t>
      </w:r>
      <w:r w:rsidR="000900CE">
        <w:rPr>
          <w:rFonts w:asciiTheme="majorHAnsi" w:eastAsia="Times New Roman" w:hAnsiTheme="majorHAnsi" w:cstheme="majorHAnsi"/>
          <w:lang w:val="nb-NO" w:eastAsia="en-US"/>
        </w:rPr>
        <w:t>ICJ Norge har derfor litt v</w:t>
      </w:r>
      <w:r w:rsidR="002F5C71">
        <w:rPr>
          <w:rFonts w:asciiTheme="majorHAnsi" w:eastAsia="Times New Roman" w:hAnsiTheme="majorHAnsi" w:cstheme="majorHAnsi"/>
          <w:lang w:val="nb-NO" w:eastAsia="en-US"/>
        </w:rPr>
        <w:t xml:space="preserve">anskelig </w:t>
      </w:r>
      <w:r w:rsidR="00C207EF">
        <w:rPr>
          <w:rFonts w:asciiTheme="majorHAnsi" w:eastAsia="Times New Roman" w:hAnsiTheme="majorHAnsi" w:cstheme="majorHAnsi"/>
          <w:lang w:val="nb-NO" w:eastAsia="en-US"/>
        </w:rPr>
        <w:t xml:space="preserve">for </w:t>
      </w:r>
      <w:r w:rsidR="002F5C71">
        <w:rPr>
          <w:rFonts w:asciiTheme="majorHAnsi" w:eastAsia="Times New Roman" w:hAnsiTheme="majorHAnsi" w:cstheme="majorHAnsi"/>
          <w:lang w:val="nb-NO" w:eastAsia="en-US"/>
        </w:rPr>
        <w:t xml:space="preserve">å se at det skulle være så kontroversielt </w:t>
      </w:r>
      <w:r w:rsidR="00F57E14">
        <w:rPr>
          <w:rFonts w:asciiTheme="majorHAnsi" w:eastAsia="Times New Roman" w:hAnsiTheme="majorHAnsi" w:cstheme="majorHAnsi"/>
          <w:lang w:val="nb-NO" w:eastAsia="en-US"/>
        </w:rPr>
        <w:t>for Stortinget å</w:t>
      </w:r>
      <w:r w:rsidR="002F5C71">
        <w:rPr>
          <w:rFonts w:asciiTheme="majorHAnsi" w:eastAsia="Times New Roman" w:hAnsiTheme="majorHAnsi" w:cstheme="majorHAnsi"/>
          <w:lang w:val="nb-NO" w:eastAsia="en-US"/>
        </w:rPr>
        <w:t xml:space="preserve"> vedta det foreslåtte alternativ H som endring av § 89. </w:t>
      </w:r>
      <w:r w:rsidR="000900CE">
        <w:rPr>
          <w:rFonts w:asciiTheme="majorHAnsi" w:eastAsia="Times New Roman" w:hAnsiTheme="majorHAnsi" w:cstheme="majorHAnsi"/>
          <w:lang w:val="nb-NO" w:eastAsia="en-US"/>
        </w:rPr>
        <w:t xml:space="preserve">Men ICJ Norge ser samtidig at spørsmålet kunne vært bedre utredet før forslaget vedtas, slik advokat Vidar Strømme </w:t>
      </w:r>
      <w:r w:rsidR="00F57E14">
        <w:rPr>
          <w:rFonts w:asciiTheme="majorHAnsi" w:eastAsia="Times New Roman" w:hAnsiTheme="majorHAnsi" w:cstheme="majorHAnsi"/>
          <w:lang w:val="nb-NO" w:eastAsia="en-US"/>
        </w:rPr>
        <w:t xml:space="preserve">blant annet </w:t>
      </w:r>
      <w:r w:rsidR="000900CE">
        <w:rPr>
          <w:rFonts w:asciiTheme="majorHAnsi" w:eastAsia="Times New Roman" w:hAnsiTheme="majorHAnsi" w:cstheme="majorHAnsi"/>
          <w:lang w:val="nb-NO" w:eastAsia="en-US"/>
        </w:rPr>
        <w:t xml:space="preserve">har pekt på i en artikkel som vedlegges </w:t>
      </w:r>
      <w:r w:rsidR="00F57E14">
        <w:rPr>
          <w:rFonts w:asciiTheme="majorHAnsi" w:eastAsia="Times New Roman" w:hAnsiTheme="majorHAnsi" w:cstheme="majorHAnsi"/>
          <w:lang w:val="nb-NO" w:eastAsia="en-US"/>
        </w:rPr>
        <w:t>denne</w:t>
      </w:r>
      <w:r w:rsidR="000900CE">
        <w:rPr>
          <w:rFonts w:asciiTheme="majorHAnsi" w:eastAsia="Times New Roman" w:hAnsiTheme="majorHAnsi" w:cstheme="majorHAnsi"/>
          <w:lang w:val="nb-NO" w:eastAsia="en-US"/>
        </w:rPr>
        <w:t xml:space="preserve"> uttalelse i lenkes form (nedenfor).</w:t>
      </w:r>
    </w:p>
    <w:p w14:paraId="13FAF06C" w14:textId="507F9CEC" w:rsidR="00065353" w:rsidRDefault="001E6771" w:rsidP="00F66901">
      <w:pPr>
        <w:spacing w:after="160" w:line="259" w:lineRule="auto"/>
        <w:rPr>
          <w:rFonts w:asciiTheme="majorHAnsi" w:eastAsia="Times New Roman" w:hAnsiTheme="majorHAnsi" w:cstheme="majorHAnsi"/>
          <w:lang w:val="nb-NO" w:eastAsia="en-US"/>
        </w:rPr>
      </w:pPr>
      <w:r>
        <w:rPr>
          <w:rFonts w:asciiTheme="majorHAnsi" w:eastAsia="Times New Roman" w:hAnsiTheme="majorHAnsi" w:cstheme="majorHAnsi"/>
          <w:lang w:val="nb-NO" w:eastAsia="en-US"/>
        </w:rPr>
        <w:t>På den annen side, hvis</w:t>
      </w:r>
      <w:r w:rsidR="00065353">
        <w:rPr>
          <w:rFonts w:asciiTheme="majorHAnsi" w:eastAsia="Times New Roman" w:hAnsiTheme="majorHAnsi" w:cstheme="majorHAnsi"/>
          <w:lang w:val="nb-NO" w:eastAsia="en-US"/>
        </w:rPr>
        <w:t xml:space="preserve"> gjeldende § 89 </w:t>
      </w:r>
      <w:r>
        <w:rPr>
          <w:rFonts w:asciiTheme="majorHAnsi" w:eastAsia="Times New Roman" w:hAnsiTheme="majorHAnsi" w:cstheme="majorHAnsi"/>
          <w:lang w:val="nb-NO" w:eastAsia="en-US"/>
        </w:rPr>
        <w:t xml:space="preserve">allerede </w:t>
      </w:r>
      <w:r w:rsidR="00065353">
        <w:rPr>
          <w:rFonts w:asciiTheme="majorHAnsi" w:eastAsia="Times New Roman" w:hAnsiTheme="majorHAnsi" w:cstheme="majorHAnsi"/>
          <w:lang w:val="nb-NO" w:eastAsia="en-US"/>
        </w:rPr>
        <w:t xml:space="preserve">dekker legalitetskontroll i samsvar med de materielle bestemmelsene i Grunnloven kapittel E, herunder nevnte § 113, er det </w:t>
      </w:r>
      <w:r w:rsidR="00F57E14">
        <w:rPr>
          <w:rFonts w:asciiTheme="majorHAnsi" w:eastAsia="Times New Roman" w:hAnsiTheme="majorHAnsi" w:cstheme="majorHAnsi"/>
          <w:lang w:val="nb-NO" w:eastAsia="en-US"/>
        </w:rPr>
        <w:t xml:space="preserve">heller </w:t>
      </w:r>
      <w:r w:rsidR="00065353">
        <w:rPr>
          <w:rFonts w:asciiTheme="majorHAnsi" w:eastAsia="Times New Roman" w:hAnsiTheme="majorHAnsi" w:cstheme="majorHAnsi"/>
          <w:lang w:val="nb-NO" w:eastAsia="en-US"/>
        </w:rPr>
        <w:t xml:space="preserve">ikke nødvendig </w:t>
      </w:r>
      <w:r w:rsidR="000900CE">
        <w:rPr>
          <w:rFonts w:asciiTheme="majorHAnsi" w:eastAsia="Times New Roman" w:hAnsiTheme="majorHAnsi" w:cstheme="majorHAnsi"/>
          <w:lang w:val="nb-NO" w:eastAsia="en-US"/>
        </w:rPr>
        <w:t xml:space="preserve">for Stortinget </w:t>
      </w:r>
      <w:r w:rsidR="00065353">
        <w:rPr>
          <w:rFonts w:asciiTheme="majorHAnsi" w:eastAsia="Times New Roman" w:hAnsiTheme="majorHAnsi" w:cstheme="majorHAnsi"/>
          <w:lang w:val="nb-NO" w:eastAsia="en-US"/>
        </w:rPr>
        <w:t>å endre § 89 slik den nå står.</w:t>
      </w:r>
      <w:r>
        <w:rPr>
          <w:rFonts w:asciiTheme="majorHAnsi" w:eastAsia="Times New Roman" w:hAnsiTheme="majorHAnsi" w:cstheme="majorHAnsi"/>
          <w:lang w:val="nb-NO" w:eastAsia="en-US"/>
        </w:rPr>
        <w:t xml:space="preserve"> Da må poenget i så fall være at teksten endres slik som i forslag H</w:t>
      </w:r>
      <w:r w:rsidR="00F57E14">
        <w:rPr>
          <w:rFonts w:asciiTheme="majorHAnsi" w:eastAsia="Times New Roman" w:hAnsiTheme="majorHAnsi" w:cstheme="majorHAnsi"/>
          <w:lang w:val="nb-NO" w:eastAsia="en-US"/>
        </w:rPr>
        <w:t>,</w:t>
      </w:r>
      <w:r>
        <w:rPr>
          <w:rFonts w:asciiTheme="majorHAnsi" w:eastAsia="Times New Roman" w:hAnsiTheme="majorHAnsi" w:cstheme="majorHAnsi"/>
          <w:lang w:val="nb-NO" w:eastAsia="en-US"/>
        </w:rPr>
        <w:t xml:space="preserve"> for å avklare spørsmålet</w:t>
      </w:r>
      <w:r w:rsidR="00F57E14">
        <w:rPr>
          <w:rFonts w:asciiTheme="majorHAnsi" w:eastAsia="Times New Roman" w:hAnsiTheme="majorHAnsi" w:cstheme="majorHAnsi"/>
          <w:lang w:val="nb-NO" w:eastAsia="en-US"/>
        </w:rPr>
        <w:t xml:space="preserve"> om legalitetskontroll innenfor grunnloven</w:t>
      </w:r>
      <w:r w:rsidR="003F3B40">
        <w:rPr>
          <w:rFonts w:asciiTheme="majorHAnsi" w:eastAsia="Times New Roman" w:hAnsiTheme="majorHAnsi" w:cstheme="majorHAnsi"/>
          <w:lang w:val="nb-NO" w:eastAsia="en-US"/>
        </w:rPr>
        <w:t>s</w:t>
      </w:r>
      <w:r w:rsidR="00F57E14">
        <w:rPr>
          <w:rFonts w:asciiTheme="majorHAnsi" w:eastAsia="Times New Roman" w:hAnsiTheme="majorHAnsi" w:cstheme="majorHAnsi"/>
          <w:lang w:val="nb-NO" w:eastAsia="en-US"/>
        </w:rPr>
        <w:t xml:space="preserve"> rammer</w:t>
      </w:r>
      <w:r>
        <w:rPr>
          <w:rFonts w:asciiTheme="majorHAnsi" w:eastAsia="Times New Roman" w:hAnsiTheme="majorHAnsi" w:cstheme="majorHAnsi"/>
          <w:lang w:val="nb-NO" w:eastAsia="en-US"/>
        </w:rPr>
        <w:t>.</w:t>
      </w:r>
    </w:p>
    <w:p w14:paraId="64F45D3D" w14:textId="122AE35D" w:rsidR="0016027D" w:rsidRDefault="00F57E14" w:rsidP="001E6771">
      <w:pPr>
        <w:spacing w:after="160" w:line="259" w:lineRule="auto"/>
        <w:rPr>
          <w:rFonts w:asciiTheme="majorHAnsi" w:eastAsia="Times New Roman" w:hAnsiTheme="majorHAnsi" w:cstheme="majorHAnsi"/>
          <w:lang w:val="nb-NO" w:eastAsia="en-US"/>
        </w:rPr>
      </w:pPr>
      <w:r>
        <w:rPr>
          <w:rFonts w:asciiTheme="majorHAnsi" w:eastAsia="Times New Roman" w:hAnsiTheme="majorHAnsi" w:cstheme="majorHAnsi"/>
          <w:lang w:val="nb-NO" w:eastAsia="en-US"/>
        </w:rPr>
        <w:t>Det er også et spørsmål</w:t>
      </w:r>
      <w:r w:rsidR="00065353">
        <w:rPr>
          <w:rFonts w:asciiTheme="majorHAnsi" w:eastAsia="Times New Roman" w:hAnsiTheme="majorHAnsi" w:cstheme="majorHAnsi"/>
          <w:lang w:val="nb-NO" w:eastAsia="en-US"/>
        </w:rPr>
        <w:t xml:space="preserve"> om alternativ H innebærer en forbedring av bestemmelsen på andre punkter. Igjen er det ICJ Norges syn</w:t>
      </w:r>
      <w:r w:rsidR="001E6771">
        <w:rPr>
          <w:rFonts w:asciiTheme="majorHAnsi" w:eastAsia="Times New Roman" w:hAnsiTheme="majorHAnsi" w:cstheme="majorHAnsi"/>
          <w:lang w:val="nb-NO" w:eastAsia="en-US"/>
        </w:rPr>
        <w:t>,</w:t>
      </w:r>
      <w:r w:rsidR="00065353">
        <w:rPr>
          <w:rFonts w:asciiTheme="majorHAnsi" w:eastAsia="Times New Roman" w:hAnsiTheme="majorHAnsi" w:cstheme="majorHAnsi"/>
          <w:lang w:val="nb-NO" w:eastAsia="en-US"/>
        </w:rPr>
        <w:t xml:space="preserve"> </w:t>
      </w:r>
      <w:r w:rsidR="000900CE">
        <w:rPr>
          <w:rFonts w:asciiTheme="majorHAnsi" w:eastAsia="Times New Roman" w:hAnsiTheme="majorHAnsi" w:cstheme="majorHAnsi"/>
          <w:lang w:val="nb-NO" w:eastAsia="en-US"/>
        </w:rPr>
        <w:t xml:space="preserve">at det </w:t>
      </w:r>
      <w:r w:rsidR="00065353">
        <w:rPr>
          <w:rFonts w:asciiTheme="majorHAnsi" w:eastAsia="Times New Roman" w:hAnsiTheme="majorHAnsi" w:cstheme="majorHAnsi"/>
          <w:lang w:val="nb-NO" w:eastAsia="en-US"/>
        </w:rPr>
        <w:t xml:space="preserve">verken </w:t>
      </w:r>
      <w:r w:rsidR="001E6771">
        <w:rPr>
          <w:rFonts w:asciiTheme="majorHAnsi" w:eastAsia="Times New Roman" w:hAnsiTheme="majorHAnsi" w:cstheme="majorHAnsi"/>
          <w:lang w:val="nb-NO" w:eastAsia="en-US"/>
        </w:rPr>
        <w:t xml:space="preserve">for </w:t>
      </w:r>
      <w:r w:rsidR="00065353">
        <w:rPr>
          <w:rFonts w:asciiTheme="majorHAnsi" w:eastAsia="Times New Roman" w:hAnsiTheme="majorHAnsi" w:cstheme="majorHAnsi"/>
          <w:lang w:val="nb-NO" w:eastAsia="en-US"/>
        </w:rPr>
        <w:t xml:space="preserve">spørsmålet om «abstrakt kontroll» eller </w:t>
      </w:r>
      <w:r w:rsidR="001E6771">
        <w:rPr>
          <w:rFonts w:asciiTheme="majorHAnsi" w:eastAsia="Times New Roman" w:hAnsiTheme="majorHAnsi" w:cstheme="majorHAnsi"/>
          <w:lang w:val="nb-NO" w:eastAsia="en-US"/>
        </w:rPr>
        <w:t xml:space="preserve">for </w:t>
      </w:r>
      <w:r w:rsidR="00065353">
        <w:rPr>
          <w:rFonts w:asciiTheme="majorHAnsi" w:eastAsia="Times New Roman" w:hAnsiTheme="majorHAnsi" w:cstheme="majorHAnsi"/>
          <w:lang w:val="nb-NO" w:eastAsia="en-US"/>
        </w:rPr>
        <w:t>spørsmålet om hvilke organer som er omfattet av begrepet «statens myndigheter»</w:t>
      </w:r>
      <w:r w:rsidR="001E6771">
        <w:rPr>
          <w:rFonts w:asciiTheme="majorHAnsi" w:eastAsia="Times New Roman" w:hAnsiTheme="majorHAnsi" w:cstheme="majorHAnsi"/>
          <w:lang w:val="nb-NO" w:eastAsia="en-US"/>
        </w:rPr>
        <w:t>,</w:t>
      </w:r>
      <w:r w:rsidR="00065353">
        <w:rPr>
          <w:rFonts w:asciiTheme="majorHAnsi" w:eastAsia="Times New Roman" w:hAnsiTheme="majorHAnsi" w:cstheme="majorHAnsi"/>
          <w:lang w:val="nb-NO" w:eastAsia="en-US"/>
        </w:rPr>
        <w:t xml:space="preserve"> </w:t>
      </w:r>
      <w:r w:rsidR="000900CE">
        <w:rPr>
          <w:rFonts w:asciiTheme="majorHAnsi" w:eastAsia="Times New Roman" w:hAnsiTheme="majorHAnsi" w:cstheme="majorHAnsi"/>
          <w:lang w:val="nb-NO" w:eastAsia="en-US"/>
        </w:rPr>
        <w:t xml:space="preserve">er </w:t>
      </w:r>
      <w:r w:rsidR="001E6771">
        <w:rPr>
          <w:rFonts w:asciiTheme="majorHAnsi" w:eastAsia="Times New Roman" w:hAnsiTheme="majorHAnsi" w:cstheme="majorHAnsi"/>
          <w:lang w:val="nb-NO" w:eastAsia="en-US"/>
        </w:rPr>
        <w:t>nødvendig å endre § 89</w:t>
      </w:r>
      <w:r>
        <w:rPr>
          <w:rFonts w:asciiTheme="majorHAnsi" w:eastAsia="Times New Roman" w:hAnsiTheme="majorHAnsi" w:cstheme="majorHAnsi"/>
          <w:lang w:val="nb-NO" w:eastAsia="en-US"/>
        </w:rPr>
        <w:t xml:space="preserve"> for å tydeliggjøre innholdet</w:t>
      </w:r>
      <w:r w:rsidR="001E6771">
        <w:rPr>
          <w:rFonts w:asciiTheme="majorHAnsi" w:eastAsia="Times New Roman" w:hAnsiTheme="majorHAnsi" w:cstheme="majorHAnsi"/>
          <w:lang w:val="nb-NO" w:eastAsia="en-US"/>
        </w:rPr>
        <w:t>.</w:t>
      </w:r>
    </w:p>
    <w:p w14:paraId="51652EEC" w14:textId="23D2ED12" w:rsidR="00C207EF" w:rsidRPr="00143218" w:rsidRDefault="00C207EF" w:rsidP="001E6771">
      <w:pPr>
        <w:spacing w:after="160" w:line="259" w:lineRule="auto"/>
        <w:rPr>
          <w:rFonts w:asciiTheme="majorHAnsi" w:eastAsia="Times New Roman" w:hAnsiTheme="majorHAnsi" w:cstheme="majorHAnsi"/>
          <w:lang w:val="nb-NO" w:eastAsia="en-US"/>
        </w:rPr>
      </w:pPr>
      <w:r w:rsidRPr="00143218">
        <w:rPr>
          <w:rFonts w:asciiTheme="majorHAnsi" w:eastAsia="Times New Roman" w:hAnsiTheme="majorHAnsi" w:cstheme="majorHAnsi"/>
          <w:lang w:val="nb-NO" w:eastAsia="en-US"/>
        </w:rPr>
        <w:t xml:space="preserve">Kort oppsummert mener ICJ Norge at Grunnloven § 89 allerede dekker legalitetskontroll med forvaltningen og </w:t>
      </w:r>
      <w:r w:rsidR="00143218" w:rsidRPr="00143218">
        <w:rPr>
          <w:rFonts w:asciiTheme="majorHAnsi" w:eastAsia="Times New Roman" w:hAnsiTheme="majorHAnsi" w:cstheme="majorHAnsi"/>
          <w:lang w:val="nb-NO" w:eastAsia="en-US"/>
        </w:rPr>
        <w:t xml:space="preserve">ellers </w:t>
      </w:r>
      <w:r w:rsidRPr="00143218">
        <w:rPr>
          <w:rFonts w:asciiTheme="majorHAnsi" w:eastAsia="Times New Roman" w:hAnsiTheme="majorHAnsi" w:cstheme="majorHAnsi"/>
          <w:lang w:val="nb-NO" w:eastAsia="en-US"/>
        </w:rPr>
        <w:t xml:space="preserve">er adekvat formulert. Dersom Stortinget finner grunn til å forsikre seg om at legalitetskontrollen skal være del av </w:t>
      </w:r>
      <w:r w:rsidR="00143218" w:rsidRPr="00143218">
        <w:rPr>
          <w:rFonts w:asciiTheme="majorHAnsi" w:eastAsia="Times New Roman" w:hAnsiTheme="majorHAnsi" w:cstheme="majorHAnsi"/>
          <w:lang w:val="nb-NO" w:eastAsia="en-US"/>
        </w:rPr>
        <w:t>prøvingsplikten i medhold av Grunnloven § 89</w:t>
      </w:r>
      <w:r w:rsidRPr="00143218">
        <w:rPr>
          <w:rFonts w:asciiTheme="majorHAnsi" w:eastAsia="Times New Roman" w:hAnsiTheme="majorHAnsi" w:cstheme="majorHAnsi"/>
          <w:lang w:val="nb-NO" w:eastAsia="en-US"/>
        </w:rPr>
        <w:t xml:space="preserve">, mener ICJ Norge at alternativ H er det </w:t>
      </w:r>
      <w:r w:rsidR="00143218" w:rsidRPr="00143218">
        <w:rPr>
          <w:rFonts w:asciiTheme="majorHAnsi" w:eastAsia="Times New Roman" w:hAnsiTheme="majorHAnsi" w:cstheme="majorHAnsi"/>
          <w:lang w:val="nb-NO" w:eastAsia="en-US"/>
        </w:rPr>
        <w:t>klart beste alternativet.</w:t>
      </w:r>
    </w:p>
    <w:p w14:paraId="458359D4" w14:textId="77777777" w:rsidR="0016027D" w:rsidRDefault="0016027D" w:rsidP="002841E6">
      <w:pPr>
        <w:rPr>
          <w:rFonts w:asciiTheme="majorHAnsi" w:hAnsiTheme="majorHAnsi" w:cstheme="majorHAnsi"/>
          <w:lang w:val="nb-NO"/>
        </w:rPr>
      </w:pPr>
    </w:p>
    <w:p w14:paraId="755C42BF" w14:textId="47367781" w:rsidR="00383012" w:rsidRPr="0016027D" w:rsidRDefault="000900CE" w:rsidP="002841E6">
      <w:pPr>
        <w:rPr>
          <w:rFonts w:asciiTheme="majorHAnsi" w:hAnsiTheme="majorHAnsi" w:cstheme="majorHAnsi"/>
          <w:lang w:val="nb-NO"/>
        </w:rPr>
      </w:pPr>
      <w:r>
        <w:rPr>
          <w:rFonts w:asciiTheme="majorHAnsi" w:hAnsiTheme="majorHAnsi" w:cstheme="majorHAnsi"/>
          <w:lang w:val="nb-NO"/>
        </w:rPr>
        <w:t>P</w:t>
      </w:r>
      <w:r w:rsidR="0016027D">
        <w:rPr>
          <w:rFonts w:asciiTheme="majorHAnsi" w:hAnsiTheme="majorHAnsi" w:cstheme="majorHAnsi"/>
          <w:lang w:val="nb-NO"/>
        </w:rPr>
        <w:t>å vegne av ICJ Norge:</w:t>
      </w:r>
    </w:p>
    <w:p w14:paraId="46100246" w14:textId="77777777" w:rsidR="0016027D" w:rsidRDefault="0016027D" w:rsidP="002841E6">
      <w:pPr>
        <w:rPr>
          <w:rFonts w:asciiTheme="majorHAnsi" w:hAnsiTheme="majorHAnsi" w:cstheme="majorHAnsi"/>
          <w:lang w:val="nb-NO"/>
        </w:rPr>
      </w:pPr>
    </w:p>
    <w:p w14:paraId="38DE1464" w14:textId="414DE2DA" w:rsidR="0016027D" w:rsidRPr="0016027D" w:rsidRDefault="0016027D" w:rsidP="001A19B6">
      <w:pPr>
        <w:ind w:firstLine="720"/>
        <w:rPr>
          <w:rFonts w:asciiTheme="majorHAnsi" w:hAnsiTheme="majorHAnsi" w:cstheme="majorHAnsi"/>
          <w:i/>
          <w:iCs/>
          <w:lang w:val="nb-NO"/>
        </w:rPr>
      </w:pPr>
      <w:r w:rsidRPr="0016027D">
        <w:rPr>
          <w:rFonts w:asciiTheme="majorHAnsi" w:hAnsiTheme="majorHAnsi" w:cstheme="majorHAnsi"/>
          <w:i/>
          <w:iCs/>
          <w:lang w:val="nb-NO"/>
        </w:rPr>
        <w:t>Sign.</w:t>
      </w:r>
      <w:r w:rsidR="001A19B6">
        <w:rPr>
          <w:rFonts w:asciiTheme="majorHAnsi" w:hAnsiTheme="majorHAnsi" w:cstheme="majorHAnsi"/>
          <w:i/>
          <w:iCs/>
          <w:lang w:val="nb-NO"/>
        </w:rPr>
        <w:tab/>
      </w:r>
      <w:r w:rsidR="001A19B6">
        <w:rPr>
          <w:rFonts w:asciiTheme="majorHAnsi" w:hAnsiTheme="majorHAnsi" w:cstheme="majorHAnsi"/>
          <w:i/>
          <w:iCs/>
          <w:lang w:val="nb-NO"/>
        </w:rPr>
        <w:tab/>
      </w:r>
      <w:r w:rsidR="001A19B6">
        <w:rPr>
          <w:rFonts w:asciiTheme="majorHAnsi" w:hAnsiTheme="majorHAnsi" w:cstheme="majorHAnsi"/>
          <w:i/>
          <w:iCs/>
          <w:lang w:val="nb-NO"/>
        </w:rPr>
        <w:tab/>
      </w:r>
      <w:r w:rsidR="001A19B6">
        <w:rPr>
          <w:rFonts w:asciiTheme="majorHAnsi" w:hAnsiTheme="majorHAnsi" w:cstheme="majorHAnsi"/>
          <w:i/>
          <w:iCs/>
          <w:lang w:val="nb-NO"/>
        </w:rPr>
        <w:tab/>
      </w:r>
      <w:r w:rsidR="001A19B6">
        <w:rPr>
          <w:rFonts w:asciiTheme="majorHAnsi" w:hAnsiTheme="majorHAnsi" w:cstheme="majorHAnsi"/>
          <w:i/>
          <w:iCs/>
          <w:lang w:val="nb-NO"/>
        </w:rPr>
        <w:tab/>
      </w:r>
      <w:r w:rsidR="001A19B6">
        <w:rPr>
          <w:rFonts w:asciiTheme="majorHAnsi" w:hAnsiTheme="majorHAnsi" w:cstheme="majorHAnsi"/>
          <w:i/>
          <w:iCs/>
          <w:lang w:val="nb-NO"/>
        </w:rPr>
        <w:tab/>
      </w:r>
      <w:r w:rsidR="001A19B6">
        <w:rPr>
          <w:rFonts w:asciiTheme="majorHAnsi" w:hAnsiTheme="majorHAnsi" w:cstheme="majorHAnsi"/>
          <w:i/>
          <w:iCs/>
          <w:lang w:val="nb-NO"/>
        </w:rPr>
        <w:tab/>
      </w:r>
      <w:r w:rsidR="001A19B6" w:rsidRPr="0016027D">
        <w:rPr>
          <w:rFonts w:asciiTheme="majorHAnsi" w:hAnsiTheme="majorHAnsi" w:cstheme="majorHAnsi"/>
          <w:i/>
          <w:iCs/>
          <w:lang w:val="nb-NO"/>
        </w:rPr>
        <w:t>Sign.</w:t>
      </w:r>
    </w:p>
    <w:p w14:paraId="795C927A" w14:textId="77777777" w:rsidR="001A19B6" w:rsidRPr="0016027D" w:rsidRDefault="00AE4112" w:rsidP="001A19B6">
      <w:pPr>
        <w:ind w:firstLine="720"/>
        <w:rPr>
          <w:rFonts w:asciiTheme="majorHAnsi" w:hAnsiTheme="majorHAnsi" w:cstheme="majorHAnsi"/>
          <w:lang w:val="nb-NO"/>
        </w:rPr>
      </w:pPr>
      <w:r w:rsidRPr="0016027D">
        <w:rPr>
          <w:rFonts w:asciiTheme="majorHAnsi" w:hAnsiTheme="majorHAnsi" w:cstheme="majorHAnsi"/>
          <w:lang w:val="nb-NO"/>
        </w:rPr>
        <w:t xml:space="preserve">Terje Einarsen </w:t>
      </w:r>
      <w:r w:rsidR="001A19B6">
        <w:rPr>
          <w:rFonts w:asciiTheme="majorHAnsi" w:hAnsiTheme="majorHAnsi" w:cstheme="majorHAnsi"/>
          <w:lang w:val="nb-NO"/>
        </w:rPr>
        <w:tab/>
      </w:r>
      <w:r w:rsidR="001A19B6">
        <w:rPr>
          <w:rFonts w:asciiTheme="majorHAnsi" w:hAnsiTheme="majorHAnsi" w:cstheme="majorHAnsi"/>
          <w:lang w:val="nb-NO"/>
        </w:rPr>
        <w:tab/>
      </w:r>
      <w:r w:rsidR="001A19B6">
        <w:rPr>
          <w:rFonts w:asciiTheme="majorHAnsi" w:hAnsiTheme="majorHAnsi" w:cstheme="majorHAnsi"/>
          <w:lang w:val="nb-NO"/>
        </w:rPr>
        <w:tab/>
      </w:r>
      <w:r w:rsidR="001A19B6">
        <w:rPr>
          <w:rFonts w:asciiTheme="majorHAnsi" w:hAnsiTheme="majorHAnsi" w:cstheme="majorHAnsi"/>
          <w:lang w:val="nb-NO"/>
        </w:rPr>
        <w:tab/>
      </w:r>
      <w:r w:rsidR="001A19B6">
        <w:rPr>
          <w:rFonts w:asciiTheme="majorHAnsi" w:hAnsiTheme="majorHAnsi" w:cstheme="majorHAnsi"/>
          <w:lang w:val="nb-NO"/>
        </w:rPr>
        <w:tab/>
      </w:r>
      <w:r w:rsidR="001A19B6">
        <w:rPr>
          <w:rFonts w:asciiTheme="majorHAnsi" w:hAnsiTheme="majorHAnsi" w:cstheme="majorHAnsi"/>
          <w:lang w:val="nb-NO"/>
        </w:rPr>
        <w:tab/>
      </w:r>
      <w:r w:rsidR="001A19B6">
        <w:rPr>
          <w:rFonts w:asciiTheme="majorHAnsi" w:hAnsiTheme="majorHAnsi" w:cstheme="majorHAnsi"/>
          <w:lang w:val="nb-NO"/>
        </w:rPr>
        <w:t>Juni Solbrække</w:t>
      </w:r>
    </w:p>
    <w:p w14:paraId="51403AFD" w14:textId="06A69FD2" w:rsidR="00A31B75" w:rsidRPr="0016027D" w:rsidRDefault="00AE4112" w:rsidP="001A19B6">
      <w:pPr>
        <w:ind w:firstLine="720"/>
        <w:rPr>
          <w:rFonts w:asciiTheme="majorHAnsi" w:hAnsiTheme="majorHAnsi" w:cstheme="majorHAnsi"/>
          <w:lang w:val="nb-NO"/>
        </w:rPr>
      </w:pPr>
      <w:r w:rsidRPr="0016027D">
        <w:rPr>
          <w:rFonts w:asciiTheme="majorHAnsi" w:hAnsiTheme="majorHAnsi" w:cstheme="majorHAnsi"/>
          <w:lang w:val="nb-NO"/>
        </w:rPr>
        <w:t>Styreleder</w:t>
      </w:r>
      <w:r w:rsidR="001A19B6">
        <w:rPr>
          <w:rFonts w:asciiTheme="majorHAnsi" w:hAnsiTheme="majorHAnsi" w:cstheme="majorHAnsi"/>
          <w:lang w:val="nb-NO"/>
        </w:rPr>
        <w:tab/>
      </w:r>
      <w:r w:rsidR="001A19B6">
        <w:rPr>
          <w:rFonts w:asciiTheme="majorHAnsi" w:hAnsiTheme="majorHAnsi" w:cstheme="majorHAnsi"/>
          <w:lang w:val="nb-NO"/>
        </w:rPr>
        <w:tab/>
      </w:r>
      <w:r w:rsidR="001A19B6">
        <w:rPr>
          <w:rFonts w:asciiTheme="majorHAnsi" w:hAnsiTheme="majorHAnsi" w:cstheme="majorHAnsi"/>
          <w:lang w:val="nb-NO"/>
        </w:rPr>
        <w:tab/>
      </w:r>
      <w:r w:rsidR="001A19B6">
        <w:rPr>
          <w:rFonts w:asciiTheme="majorHAnsi" w:hAnsiTheme="majorHAnsi" w:cstheme="majorHAnsi"/>
          <w:lang w:val="nb-NO"/>
        </w:rPr>
        <w:tab/>
      </w:r>
      <w:r w:rsidR="001A19B6">
        <w:rPr>
          <w:rFonts w:asciiTheme="majorHAnsi" w:hAnsiTheme="majorHAnsi" w:cstheme="majorHAnsi"/>
          <w:lang w:val="nb-NO"/>
        </w:rPr>
        <w:tab/>
      </w:r>
      <w:r w:rsidR="001A19B6">
        <w:rPr>
          <w:rFonts w:asciiTheme="majorHAnsi" w:hAnsiTheme="majorHAnsi" w:cstheme="majorHAnsi"/>
          <w:lang w:val="nb-NO"/>
        </w:rPr>
        <w:tab/>
        <w:t>Daglig leder</w:t>
      </w:r>
    </w:p>
    <w:p w14:paraId="64946D96" w14:textId="12AEBC07" w:rsidR="00AE4112" w:rsidRDefault="00AE4112" w:rsidP="002841E6">
      <w:pPr>
        <w:rPr>
          <w:rFonts w:asciiTheme="majorHAnsi" w:hAnsiTheme="majorHAnsi" w:cstheme="majorHAnsi"/>
          <w:lang w:val="nb-NO"/>
        </w:rPr>
      </w:pPr>
    </w:p>
    <w:p w14:paraId="7C2F5421" w14:textId="3EBB5FDD" w:rsidR="00AE4112" w:rsidRPr="0016027D" w:rsidRDefault="00AE4112" w:rsidP="002841E6">
      <w:pPr>
        <w:rPr>
          <w:rFonts w:asciiTheme="majorHAnsi" w:hAnsiTheme="majorHAnsi" w:cstheme="majorHAnsi"/>
          <w:lang w:val="nb-NO"/>
        </w:rPr>
      </w:pPr>
    </w:p>
    <w:p w14:paraId="57F50975" w14:textId="77777777" w:rsidR="0016027D" w:rsidRDefault="0016027D" w:rsidP="002841E6">
      <w:pPr>
        <w:rPr>
          <w:rFonts w:asciiTheme="majorHAnsi" w:hAnsiTheme="majorHAnsi" w:cstheme="majorHAnsi"/>
          <w:b/>
          <w:bCs/>
          <w:lang w:val="nb-NO"/>
        </w:rPr>
      </w:pPr>
    </w:p>
    <w:p w14:paraId="324CC1B8" w14:textId="706616CB" w:rsidR="00D21ECE" w:rsidRPr="00143218" w:rsidRDefault="00AE4112" w:rsidP="00143218">
      <w:pPr>
        <w:ind w:left="1440" w:hanging="1440"/>
        <w:rPr>
          <w:rFonts w:asciiTheme="majorHAnsi" w:hAnsiTheme="majorHAnsi" w:cstheme="majorHAnsi"/>
          <w:lang w:val="nb-NO"/>
        </w:rPr>
      </w:pPr>
      <w:r w:rsidRPr="0016027D">
        <w:rPr>
          <w:rFonts w:asciiTheme="majorHAnsi" w:hAnsiTheme="majorHAnsi" w:cstheme="majorHAnsi"/>
          <w:b/>
          <w:bCs/>
          <w:lang w:val="nb-NO"/>
        </w:rPr>
        <w:t xml:space="preserve">Vedlegg: </w:t>
      </w:r>
      <w:r w:rsidR="003F71BD">
        <w:rPr>
          <w:rFonts w:asciiTheme="majorHAnsi" w:hAnsiTheme="majorHAnsi" w:cstheme="majorHAnsi"/>
          <w:b/>
          <w:bCs/>
          <w:lang w:val="nb-NO"/>
        </w:rPr>
        <w:tab/>
      </w:r>
      <w:r w:rsidR="003F71BD">
        <w:rPr>
          <w:rFonts w:asciiTheme="majorHAnsi" w:hAnsiTheme="majorHAnsi" w:cstheme="majorHAnsi"/>
          <w:lang w:val="nb-NO"/>
        </w:rPr>
        <w:t xml:space="preserve">Artikkel, Vidar Strømme, Advokatbladet, Ikke rør domstolenes prøvingsadgang, 12. mai 2020, </w:t>
      </w:r>
      <w:hyperlink r:id="rId10" w:history="1">
        <w:r w:rsidR="003F71BD" w:rsidRPr="00466960">
          <w:rPr>
            <w:rStyle w:val="Hyperkobling"/>
            <w:rFonts w:asciiTheme="majorHAnsi" w:hAnsiTheme="majorHAnsi" w:cstheme="majorHAnsi"/>
            <w:lang w:val="nb-NO"/>
          </w:rPr>
          <w:t>https://www.advokatbladet.no/korona-schjodt/ikke-ror-domstolenes-provingsadgang/150950</w:t>
        </w:r>
      </w:hyperlink>
    </w:p>
    <w:sectPr w:rsidR="00D21ECE" w:rsidRPr="00143218">
      <w:headerReference w:type="default" r:id="rId11"/>
      <w:footerReference w:type="default" r:id="rId12"/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5AE22" w14:textId="77777777" w:rsidR="00624C34" w:rsidRDefault="00624C34">
      <w:pPr>
        <w:spacing w:line="240" w:lineRule="auto"/>
      </w:pPr>
      <w:r>
        <w:separator/>
      </w:r>
    </w:p>
  </w:endnote>
  <w:endnote w:type="continuationSeparator" w:id="0">
    <w:p w14:paraId="1C3148CF" w14:textId="77777777" w:rsidR="00624C34" w:rsidRDefault="00624C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96CCC" w14:textId="08F241DC" w:rsidR="00E55AEC" w:rsidRDefault="00C85FB1">
    <w:pPr>
      <w:pBdr>
        <w:top w:val="nil"/>
        <w:left w:val="nil"/>
        <w:bottom w:val="nil"/>
        <w:right w:val="nil"/>
        <w:between w:val="nil"/>
      </w:pBdr>
      <w:jc w:val="right"/>
    </w:pPr>
    <w:r>
      <w:t xml:space="preserve"> </w:t>
    </w:r>
    <w:r>
      <w:fldChar w:fldCharType="begin"/>
    </w:r>
    <w:r>
      <w:instrText>PAGE</w:instrText>
    </w:r>
    <w:r>
      <w:fldChar w:fldCharType="separate"/>
    </w:r>
    <w:r w:rsidR="00D21ECE">
      <w:rPr>
        <w:noProof/>
      </w:rPr>
      <w:t>2</w:t>
    </w:r>
    <w:r>
      <w:fldChar w:fldCharType="end"/>
    </w:r>
    <w:r>
      <w:t xml:space="preserve"> av </w:t>
    </w:r>
    <w:r>
      <w:fldChar w:fldCharType="begin"/>
    </w:r>
    <w:r>
      <w:instrText>NUMPAGES</w:instrText>
    </w:r>
    <w:r>
      <w:fldChar w:fldCharType="separate"/>
    </w:r>
    <w:r w:rsidR="00D21EC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20535" w14:textId="77777777" w:rsidR="00624C34" w:rsidRDefault="00624C34">
      <w:pPr>
        <w:spacing w:line="240" w:lineRule="auto"/>
      </w:pPr>
      <w:r>
        <w:separator/>
      </w:r>
    </w:p>
  </w:footnote>
  <w:footnote w:type="continuationSeparator" w:id="0">
    <w:p w14:paraId="39EA3CBA" w14:textId="77777777" w:rsidR="00624C34" w:rsidRDefault="00624C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A42E8" w14:textId="77777777" w:rsidR="00E55AEC" w:rsidRDefault="00C85F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709" w:line="240" w:lineRule="auto"/>
    </w:pPr>
    <w:r>
      <w:rPr>
        <w:rFonts w:ascii="Cambria" w:eastAsia="Cambria" w:hAnsi="Cambria" w:cs="Cambria"/>
        <w:b/>
        <w:noProof/>
        <w:color w:val="548DD4"/>
        <w:sz w:val="18"/>
        <w:szCs w:val="18"/>
        <w:lang w:val="nb-NO"/>
      </w:rPr>
      <w:drawing>
        <wp:inline distT="0" distB="0" distL="0" distR="0" wp14:anchorId="26050623" wp14:editId="29C9352C">
          <wp:extent cx="1993265" cy="7620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93265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90E5A"/>
    <w:multiLevelType w:val="multilevel"/>
    <w:tmpl w:val="9314DC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4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3C66925"/>
    <w:multiLevelType w:val="multilevel"/>
    <w:tmpl w:val="E81046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6297937"/>
    <w:multiLevelType w:val="hybridMultilevel"/>
    <w:tmpl w:val="0E8A17F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622871"/>
    <w:multiLevelType w:val="hybridMultilevel"/>
    <w:tmpl w:val="026ADE9E"/>
    <w:lvl w:ilvl="0" w:tplc="0414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56D1F99"/>
    <w:multiLevelType w:val="hybridMultilevel"/>
    <w:tmpl w:val="82962E3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AEC"/>
    <w:rsid w:val="00005E65"/>
    <w:rsid w:val="00065353"/>
    <w:rsid w:val="000900CE"/>
    <w:rsid w:val="000A71BF"/>
    <w:rsid w:val="00134BE0"/>
    <w:rsid w:val="0013538F"/>
    <w:rsid w:val="00143218"/>
    <w:rsid w:val="0014696B"/>
    <w:rsid w:val="0016027D"/>
    <w:rsid w:val="0016048D"/>
    <w:rsid w:val="00180903"/>
    <w:rsid w:val="001A19B6"/>
    <w:rsid w:val="001B2006"/>
    <w:rsid w:val="001C22F1"/>
    <w:rsid w:val="001D5C6E"/>
    <w:rsid w:val="001E6771"/>
    <w:rsid w:val="002136A0"/>
    <w:rsid w:val="002267AC"/>
    <w:rsid w:val="002327B3"/>
    <w:rsid w:val="002371F7"/>
    <w:rsid w:val="00254072"/>
    <w:rsid w:val="002841E6"/>
    <w:rsid w:val="002F5C71"/>
    <w:rsid w:val="00335AC6"/>
    <w:rsid w:val="00350A39"/>
    <w:rsid w:val="00350EF4"/>
    <w:rsid w:val="0037286F"/>
    <w:rsid w:val="00380CF6"/>
    <w:rsid w:val="00383012"/>
    <w:rsid w:val="003A0039"/>
    <w:rsid w:val="003F3B40"/>
    <w:rsid w:val="003F71BD"/>
    <w:rsid w:val="004125B8"/>
    <w:rsid w:val="004475AF"/>
    <w:rsid w:val="0045673B"/>
    <w:rsid w:val="00461C0B"/>
    <w:rsid w:val="00476D5A"/>
    <w:rsid w:val="004A4444"/>
    <w:rsid w:val="004B24DC"/>
    <w:rsid w:val="004D5FF2"/>
    <w:rsid w:val="004E59DD"/>
    <w:rsid w:val="004F309B"/>
    <w:rsid w:val="00501426"/>
    <w:rsid w:val="00545CB1"/>
    <w:rsid w:val="00574D13"/>
    <w:rsid w:val="005A5027"/>
    <w:rsid w:val="005C4910"/>
    <w:rsid w:val="005E35AD"/>
    <w:rsid w:val="005E400A"/>
    <w:rsid w:val="005F13A6"/>
    <w:rsid w:val="00624C34"/>
    <w:rsid w:val="006460B2"/>
    <w:rsid w:val="00653184"/>
    <w:rsid w:val="006A45D4"/>
    <w:rsid w:val="006A51BF"/>
    <w:rsid w:val="006C1A1D"/>
    <w:rsid w:val="006D0280"/>
    <w:rsid w:val="00711C2E"/>
    <w:rsid w:val="007356E9"/>
    <w:rsid w:val="00747813"/>
    <w:rsid w:val="007734E9"/>
    <w:rsid w:val="007C1BE3"/>
    <w:rsid w:val="007C48E0"/>
    <w:rsid w:val="007E4168"/>
    <w:rsid w:val="00831E08"/>
    <w:rsid w:val="008547D1"/>
    <w:rsid w:val="008562C1"/>
    <w:rsid w:val="0086371D"/>
    <w:rsid w:val="008A6476"/>
    <w:rsid w:val="008F75B2"/>
    <w:rsid w:val="00905E85"/>
    <w:rsid w:val="00945634"/>
    <w:rsid w:val="009610AE"/>
    <w:rsid w:val="009A380F"/>
    <w:rsid w:val="009E73E6"/>
    <w:rsid w:val="00A31B75"/>
    <w:rsid w:val="00A32F94"/>
    <w:rsid w:val="00A54052"/>
    <w:rsid w:val="00A72E10"/>
    <w:rsid w:val="00A741AF"/>
    <w:rsid w:val="00A9160E"/>
    <w:rsid w:val="00A96B71"/>
    <w:rsid w:val="00AE4112"/>
    <w:rsid w:val="00B26DF0"/>
    <w:rsid w:val="00B26FF1"/>
    <w:rsid w:val="00B560DB"/>
    <w:rsid w:val="00B57B54"/>
    <w:rsid w:val="00B91375"/>
    <w:rsid w:val="00BD1C50"/>
    <w:rsid w:val="00BD2A2F"/>
    <w:rsid w:val="00BE6CF4"/>
    <w:rsid w:val="00BE7691"/>
    <w:rsid w:val="00C203C7"/>
    <w:rsid w:val="00C207EF"/>
    <w:rsid w:val="00C3271F"/>
    <w:rsid w:val="00C85FB1"/>
    <w:rsid w:val="00CA7AEC"/>
    <w:rsid w:val="00CE46D7"/>
    <w:rsid w:val="00D21ECE"/>
    <w:rsid w:val="00D454AC"/>
    <w:rsid w:val="00D55C18"/>
    <w:rsid w:val="00DD06F0"/>
    <w:rsid w:val="00E10757"/>
    <w:rsid w:val="00E55AEC"/>
    <w:rsid w:val="00E651E7"/>
    <w:rsid w:val="00ED2A54"/>
    <w:rsid w:val="00F45B8F"/>
    <w:rsid w:val="00F57E14"/>
    <w:rsid w:val="00F66901"/>
    <w:rsid w:val="00F804EB"/>
    <w:rsid w:val="00FB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5D1BC"/>
  <w15:docId w15:val="{DA33AACA-792B-A845-A262-CED942A0D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96B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96B71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2841E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nb-NO" w:eastAsia="en-US"/>
    </w:rPr>
  </w:style>
  <w:style w:type="paragraph" w:customStyle="1" w:styleId="Default">
    <w:name w:val="Default"/>
    <w:rsid w:val="002841E6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nb-NO" w:eastAsia="en-US"/>
    </w:rPr>
  </w:style>
  <w:style w:type="character" w:styleId="Hyperkobling">
    <w:name w:val="Hyperlink"/>
    <w:basedOn w:val="Standardskriftforavsnitt"/>
    <w:uiPriority w:val="99"/>
    <w:unhideWhenUsed/>
    <w:rsid w:val="00A31B75"/>
    <w:rPr>
      <w:color w:val="0000FF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A31B75"/>
    <w:rPr>
      <w:color w:val="605E5C"/>
      <w:shd w:val="clear" w:color="auto" w:fill="E1DFDD"/>
    </w:rPr>
  </w:style>
  <w:style w:type="character" w:styleId="Ulstomtale">
    <w:name w:val="Unresolved Mention"/>
    <w:basedOn w:val="Standardskriftforavsnitt"/>
    <w:uiPriority w:val="99"/>
    <w:semiHidden/>
    <w:unhideWhenUsed/>
    <w:rsid w:val="003F71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4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2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je.einarsen@uib.n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cj.no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advokatbladet.no/korona-schjodt/ikke-ror-domstolenes-provingsadgang/1509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nisol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1356</Words>
  <Characters>7192</Characters>
  <Application>Microsoft Office Word</Application>
  <DocSecurity>0</DocSecurity>
  <Lines>59</Lines>
  <Paragraphs>17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17</vt:i4>
      </vt:variant>
    </vt:vector>
  </HeadingPairs>
  <TitlesOfParts>
    <vt:vector size="19" baseType="lpstr">
      <vt:lpstr/>
      <vt:lpstr/>
      <vt:lpstr>    Innledning</vt:lpstr>
      <vt:lpstr>    Hovedpunkter/sammendrag</vt:lpstr>
      <vt:lpstr>    Høringsnotatets beskrivelse av gjeldende rett</vt:lpstr>
      <vt:lpstr>    Om EMK gjelder ekstraterritorielt i det digitale rom</vt:lpstr>
      <vt:lpstr>    Generelt </vt:lpstr>
      <vt:lpstr>    E-tjenesten forpliktelser etter EMK når de overvåker personer som oppholder seg </vt:lpstr>
      <vt:lpstr>    Norges troverdighet som menneskerettighetsforkjemper i internasjonale fora </vt:lpstr>
      <vt:lpstr>    Den foreslåtte lovreguleringen av Etterretningstjenesten</vt:lpstr>
      <vt:lpstr>    Metodebruk</vt:lpstr>
      <vt:lpstr>    Domstolskontroll</vt:lpstr>
      <vt:lpstr>    Behandling av personopplysninger</vt:lpstr>
      <vt:lpstr>    Tilrettelagt innhenting (“Digitalt grenseforsvar”)</vt:lpstr>
      <vt:lpstr>    Formål</vt:lpstr>
      <vt:lpstr>    Behov og terskler</vt:lpstr>
      <vt:lpstr>    Sekundærbruk av informasjon og bevisforbud</vt:lpstr>
      <vt:lpstr>    Innretningen av tilrettelagt innhenting - særlig om tilretteleggingsplikten</vt:lpstr>
      <vt:lpstr>    Kontrollregimet</vt:lpstr>
    </vt:vector>
  </TitlesOfParts>
  <Company/>
  <LinksUpToDate>false</LinksUpToDate>
  <CharactersWithSpaces>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Erlend Balsvik</dc:creator>
  <cp:keywords/>
  <dc:description/>
  <cp:lastModifiedBy>Terje Einarsen</cp:lastModifiedBy>
  <cp:revision>2</cp:revision>
  <cp:lastPrinted>2019-06-02T18:15:00Z</cp:lastPrinted>
  <dcterms:created xsi:type="dcterms:W3CDTF">2020-05-13T08:53:00Z</dcterms:created>
  <dcterms:modified xsi:type="dcterms:W3CDTF">2020-05-13T08:53:00Z</dcterms:modified>
</cp:coreProperties>
</file>